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F03A" w14:textId="77777777" w:rsidR="00F47CAF" w:rsidRPr="00A34BDB" w:rsidRDefault="00F47CAF" w:rsidP="00F47CAF">
      <w:pPr>
        <w:jc w:val="center"/>
        <w:rPr>
          <w:rFonts w:eastAsia="Times"/>
          <w:b/>
          <w:bCs/>
          <w:lang w:val="es-CO"/>
        </w:rPr>
      </w:pPr>
      <w:r w:rsidRPr="00A34BDB">
        <w:rPr>
          <w:rFonts w:eastAsia="Times"/>
          <w:b/>
          <w:bCs/>
          <w:lang w:val="es-CO"/>
        </w:rPr>
        <w:t xml:space="preserve">CRIMEN, JUSTICIA Y LA POLICÍA </w:t>
      </w:r>
    </w:p>
    <w:p w14:paraId="4B5E9166" w14:textId="77777777" w:rsidR="00F47CAF" w:rsidRPr="00A34BDB" w:rsidRDefault="00F47CAF" w:rsidP="00F47CAF">
      <w:pPr>
        <w:jc w:val="center"/>
        <w:rPr>
          <w:rFonts w:eastAsia="Times"/>
          <w:lang w:val="es-CO"/>
        </w:rPr>
      </w:pPr>
      <w:r w:rsidRPr="00A34BDB">
        <w:rPr>
          <w:rFonts w:eastAsia="Times"/>
          <w:lang w:val="es-CO"/>
        </w:rPr>
        <w:t>EGOB 4605</w:t>
      </w:r>
    </w:p>
    <w:p w14:paraId="05FCD5F7" w14:textId="3E4A7C90" w:rsidR="00F47CAF" w:rsidRPr="00A34BDB" w:rsidRDefault="00F47CAF" w:rsidP="00F47CAF">
      <w:pPr>
        <w:jc w:val="center"/>
        <w:rPr>
          <w:rFonts w:eastAsia="Times"/>
          <w:lang w:val="es-CO"/>
        </w:rPr>
      </w:pPr>
      <w:r w:rsidRPr="00A34BDB">
        <w:rPr>
          <w:rFonts w:eastAsia="Times"/>
          <w:lang w:val="es-CO"/>
        </w:rPr>
        <w:t>Semestre: 2023-10</w:t>
      </w:r>
    </w:p>
    <w:p w14:paraId="4FA92B63" w14:textId="77777777" w:rsidR="00F47CAF" w:rsidRPr="00A34BDB" w:rsidRDefault="00F47CAF" w:rsidP="00F47CAF">
      <w:pPr>
        <w:jc w:val="center"/>
        <w:rPr>
          <w:rFonts w:eastAsia="Times"/>
          <w:lang w:val="es-CO"/>
        </w:rPr>
      </w:pPr>
      <w:r w:rsidRPr="00A34BDB">
        <w:rPr>
          <w:rFonts w:eastAsia="Times"/>
          <w:lang w:val="es-CO"/>
        </w:rPr>
        <w:t>miércoles, 6:30am-9:20am</w:t>
      </w:r>
    </w:p>
    <w:p w14:paraId="27F259D2" w14:textId="77777777" w:rsidR="00F47CAF" w:rsidRPr="00A34BDB" w:rsidRDefault="00F47CAF" w:rsidP="00F47CAF">
      <w:pPr>
        <w:jc w:val="center"/>
        <w:rPr>
          <w:rFonts w:eastAsia="Times"/>
          <w:u w:val="single"/>
          <w:lang w:val="es-CO"/>
        </w:rPr>
      </w:pPr>
      <w:r w:rsidRPr="00A34BDB">
        <w:rPr>
          <w:rFonts w:eastAsia="Times"/>
          <w:u w:val="single"/>
          <w:lang w:val="es-CO"/>
        </w:rPr>
        <w:t>Ubicación del salón: AU403</w:t>
      </w:r>
    </w:p>
    <w:p w14:paraId="176C9380" w14:textId="77777777" w:rsidR="00F47CAF" w:rsidRPr="00A34BDB" w:rsidRDefault="00F47CAF" w:rsidP="00F47CAF">
      <w:pPr>
        <w:jc w:val="both"/>
        <w:rPr>
          <w:rFonts w:eastAsia="Times"/>
          <w:lang w:val="es-CO"/>
        </w:rPr>
      </w:pPr>
    </w:p>
    <w:p w14:paraId="6C15C36E" w14:textId="4D5721D6" w:rsidR="00F47CAF" w:rsidRPr="00A34BDB" w:rsidRDefault="00F47CAF" w:rsidP="00F47CAF">
      <w:pPr>
        <w:jc w:val="both"/>
        <w:rPr>
          <w:rFonts w:eastAsia="Times"/>
          <w:b/>
          <w:bCs/>
          <w:lang w:val="es-CO"/>
        </w:rPr>
      </w:pPr>
      <w:r w:rsidRPr="00A34BDB">
        <w:rPr>
          <w:rFonts w:eastAsia="Times"/>
          <w:b/>
          <w:bCs/>
          <w:lang w:val="es-CO"/>
        </w:rPr>
        <w:t xml:space="preserve">Profesor: </w:t>
      </w:r>
      <w:r w:rsidRPr="00A34BDB">
        <w:rPr>
          <w:rFonts w:eastAsia="Times"/>
          <w:lang w:val="es-CO"/>
        </w:rPr>
        <w:t>Michael Weintraub</w:t>
      </w:r>
    </w:p>
    <w:p w14:paraId="5B7AB8AA" w14:textId="35C0AFF7" w:rsidR="00F47CAF" w:rsidRPr="00A34BDB" w:rsidRDefault="00F47CAF" w:rsidP="00F47CAF">
      <w:pPr>
        <w:jc w:val="both"/>
        <w:rPr>
          <w:rFonts w:eastAsia="Times"/>
          <w:lang w:val="es-CO"/>
        </w:rPr>
      </w:pPr>
      <w:r w:rsidRPr="00A34BDB">
        <w:rPr>
          <w:rFonts w:eastAsia="Times"/>
          <w:lang w:val="es-CO"/>
        </w:rPr>
        <w:t xml:space="preserve">Correo: </w:t>
      </w:r>
      <w:hyperlink r:id="rId8" w:history="1">
        <w:r w:rsidRPr="00A34BDB">
          <w:rPr>
            <w:rStyle w:val="Hyperlink"/>
            <w:rFonts w:eastAsia="Times"/>
            <w:lang w:val="es-CO"/>
          </w:rPr>
          <w:t>ml.weintraub@uniandes.edu.co</w:t>
        </w:r>
      </w:hyperlink>
    </w:p>
    <w:p w14:paraId="0E0B37E3" w14:textId="5D16669E" w:rsidR="00F47CAF" w:rsidRPr="00A34BDB" w:rsidRDefault="00F47CAF" w:rsidP="00F47CAF">
      <w:pPr>
        <w:jc w:val="both"/>
        <w:rPr>
          <w:rFonts w:eastAsia="Times"/>
          <w:lang w:val="es-CO"/>
        </w:rPr>
      </w:pPr>
      <w:r w:rsidRPr="00A34BDB">
        <w:rPr>
          <w:rFonts w:eastAsia="Times"/>
          <w:lang w:val="es-CO"/>
        </w:rPr>
        <w:t>Oficina: Edificio Aulas 220</w:t>
      </w:r>
    </w:p>
    <w:p w14:paraId="5F6BC90B" w14:textId="77777777" w:rsidR="00F47CAF" w:rsidRPr="00A34BDB" w:rsidRDefault="00F47CAF" w:rsidP="00F47CAF">
      <w:pPr>
        <w:jc w:val="both"/>
        <w:rPr>
          <w:rFonts w:eastAsia="Times"/>
          <w:lang w:val="es-CO"/>
        </w:rPr>
      </w:pPr>
    </w:p>
    <w:p w14:paraId="0E72FED8" w14:textId="45F21359" w:rsidR="00F47CAF" w:rsidRPr="00A34BDB" w:rsidRDefault="00F47CAF" w:rsidP="00F47CAF">
      <w:pPr>
        <w:jc w:val="both"/>
        <w:rPr>
          <w:rFonts w:eastAsia="Times"/>
          <w:b/>
          <w:bCs/>
          <w:lang w:val="es-CO"/>
        </w:rPr>
      </w:pPr>
      <w:r w:rsidRPr="00A34BDB">
        <w:rPr>
          <w:rFonts w:eastAsia="Times"/>
          <w:b/>
          <w:bCs/>
          <w:lang w:val="es-CO"/>
        </w:rPr>
        <w:t xml:space="preserve">Monitora: </w:t>
      </w:r>
      <w:r w:rsidRPr="00A34BDB">
        <w:rPr>
          <w:rFonts w:eastAsia="Times"/>
          <w:lang w:val="es-CO"/>
        </w:rPr>
        <w:t xml:space="preserve">Mariale Gómez Breton </w:t>
      </w:r>
    </w:p>
    <w:p w14:paraId="6CA76E1F" w14:textId="550E614B" w:rsidR="00F47CAF" w:rsidRPr="00A34BDB" w:rsidRDefault="00F47CAF" w:rsidP="00F47CAF">
      <w:pPr>
        <w:jc w:val="both"/>
        <w:rPr>
          <w:rFonts w:eastAsia="Times"/>
          <w:lang w:val="es-CO"/>
        </w:rPr>
      </w:pPr>
      <w:r w:rsidRPr="00A34BDB">
        <w:rPr>
          <w:lang w:val="es-CO"/>
        </w:rPr>
        <w:t xml:space="preserve">Correo: </w:t>
      </w:r>
      <w:hyperlink r:id="rId9" w:history="1">
        <w:r w:rsidRPr="00A34BDB">
          <w:rPr>
            <w:rStyle w:val="Hyperlink"/>
            <w:rFonts w:eastAsia="Times"/>
            <w:lang w:val="es-CO"/>
          </w:rPr>
          <w:t>ma.gomezb1@uniandes.edu.co</w:t>
        </w:r>
      </w:hyperlink>
    </w:p>
    <w:p w14:paraId="6E388A4E" w14:textId="77777777" w:rsidR="00F47CAF" w:rsidRPr="00A34BDB" w:rsidRDefault="00F47CAF" w:rsidP="00F47CAF">
      <w:pPr>
        <w:jc w:val="both"/>
        <w:rPr>
          <w:rFonts w:eastAsia="Times"/>
          <w:b/>
          <w:lang w:val="es-CO"/>
        </w:rPr>
      </w:pPr>
    </w:p>
    <w:p w14:paraId="0BFBAC93" w14:textId="77777777" w:rsidR="00F47CAF" w:rsidRPr="00A34BDB" w:rsidRDefault="00F47CAF" w:rsidP="00F47CAF">
      <w:pPr>
        <w:pBdr>
          <w:top w:val="nil"/>
          <w:left w:val="nil"/>
          <w:bottom w:val="nil"/>
          <w:right w:val="nil"/>
          <w:between w:val="nil"/>
        </w:pBdr>
        <w:tabs>
          <w:tab w:val="left" w:pos="7553"/>
        </w:tabs>
        <w:jc w:val="both"/>
        <w:rPr>
          <w:rFonts w:eastAsia="Times"/>
          <w:b/>
          <w:color w:val="000000"/>
          <w:lang w:val="es-CO"/>
        </w:rPr>
      </w:pPr>
    </w:p>
    <w:p w14:paraId="257ADD8E" w14:textId="11F55647" w:rsidR="00F47CAF" w:rsidRPr="00A34BDB" w:rsidRDefault="00F47CAF" w:rsidP="00F47CAF">
      <w:pPr>
        <w:pBdr>
          <w:top w:val="nil"/>
          <w:left w:val="nil"/>
          <w:bottom w:val="nil"/>
          <w:right w:val="nil"/>
          <w:between w:val="nil"/>
        </w:pBdr>
        <w:tabs>
          <w:tab w:val="left" w:pos="7553"/>
        </w:tabs>
        <w:jc w:val="both"/>
        <w:rPr>
          <w:rFonts w:eastAsia="Times"/>
          <w:b/>
          <w:color w:val="000000"/>
          <w:lang w:val="es-CO"/>
        </w:rPr>
      </w:pPr>
      <w:r w:rsidRPr="00A34BDB">
        <w:rPr>
          <w:rFonts w:eastAsia="Times"/>
          <w:b/>
          <w:color w:val="000000"/>
          <w:lang w:val="es-CO"/>
        </w:rPr>
        <w:t>Descripción del curso</w:t>
      </w:r>
      <w:r w:rsidRPr="00A34BDB">
        <w:rPr>
          <w:rFonts w:eastAsia="Times"/>
          <w:b/>
          <w:color w:val="000000"/>
          <w:lang w:val="es-CO"/>
        </w:rPr>
        <w:tab/>
      </w:r>
    </w:p>
    <w:p w14:paraId="759257B1" w14:textId="49548D74" w:rsidR="00F47CAF" w:rsidRPr="00A34BDB" w:rsidRDefault="00F47CAF" w:rsidP="00F47CAF">
      <w:pPr>
        <w:pBdr>
          <w:top w:val="nil"/>
          <w:left w:val="nil"/>
          <w:bottom w:val="nil"/>
          <w:right w:val="nil"/>
          <w:between w:val="nil"/>
        </w:pBdr>
        <w:jc w:val="both"/>
        <w:rPr>
          <w:rFonts w:eastAsia="Times"/>
          <w:color w:val="000000"/>
          <w:lang w:val="es-CO"/>
        </w:rPr>
      </w:pPr>
      <w:r w:rsidRPr="00A34BDB">
        <w:rPr>
          <w:rFonts w:eastAsia="Times"/>
          <w:color w:val="000000"/>
          <w:lang w:val="es-CO"/>
        </w:rPr>
        <w:t>Esta clase está diseñada para exponer a l</w:t>
      </w:r>
      <w:r w:rsidR="008A1C01" w:rsidRPr="00A34BDB">
        <w:rPr>
          <w:rFonts w:eastAsia="Times"/>
          <w:color w:val="000000"/>
          <w:lang w:val="es-CO"/>
        </w:rPr>
        <w:t>x</w:t>
      </w:r>
      <w:r w:rsidRPr="00A34BDB">
        <w:rPr>
          <w:rFonts w:eastAsia="Times"/>
          <w:color w:val="000000"/>
          <w:lang w:val="es-CO"/>
        </w:rPr>
        <w:t>s estudiantes al problema del crimen y sus posibles soluciones. Debido a que el crimen es costoso - tanto en términos del daño que impone a los directamente afectados por él, como en la asignación de los escasos recursos públicos utilizados para combatirlo - aquellos comprometidos con el diseño e implementación de políticas públicas deben entender qué funciona y por qué a la hora de enfrentar los desafíos al orden. Esta tarea es especialmente urgente en América Latina: la región es la más violenta del mundo. Averiguar qué soluciones políticas han funcionado en otros lugares es crucial para Colombia en particular, ya que el país ha luchado para hacer frente al crimen organizado y, a pesar de los avances materiales reales en la situación de seguridad, sigue enfrentándose a graves problemas de violencia urbana y rural. Como veremos, gran parte de la evidencia existente sobre qué funciona y por qué proviene de contextos del mundo desarrollado; una de nuestras tareas será teorizar responsablemente sobre cómo esos hallazgos podrían trasladarse a nuestra propia región (o si no, por qué no).</w:t>
      </w:r>
    </w:p>
    <w:p w14:paraId="0A3B099B" w14:textId="77777777" w:rsidR="00F47CAF" w:rsidRPr="00A34BDB" w:rsidRDefault="00F47CAF" w:rsidP="00F47CAF">
      <w:pPr>
        <w:pBdr>
          <w:top w:val="nil"/>
          <w:left w:val="nil"/>
          <w:bottom w:val="nil"/>
          <w:right w:val="nil"/>
          <w:between w:val="nil"/>
        </w:pBdr>
        <w:jc w:val="both"/>
        <w:rPr>
          <w:rFonts w:eastAsia="Times"/>
          <w:lang w:val="es-CO"/>
        </w:rPr>
      </w:pPr>
    </w:p>
    <w:p w14:paraId="15EC2CCB" w14:textId="77777777" w:rsidR="00F47CAF" w:rsidRPr="00A34BDB" w:rsidRDefault="00F47CAF" w:rsidP="00F47CAF">
      <w:pPr>
        <w:pBdr>
          <w:top w:val="nil"/>
          <w:left w:val="nil"/>
          <w:bottom w:val="nil"/>
          <w:right w:val="nil"/>
          <w:between w:val="nil"/>
        </w:pBdr>
        <w:jc w:val="both"/>
        <w:rPr>
          <w:rFonts w:eastAsia="Times"/>
          <w:color w:val="000000"/>
          <w:lang w:val="es-CO"/>
        </w:rPr>
      </w:pPr>
      <w:r w:rsidRPr="00A34BDB">
        <w:rPr>
          <w:rFonts w:eastAsia="Times"/>
          <w:color w:val="000000"/>
          <w:lang w:val="es-CO"/>
        </w:rPr>
        <w:t>Esta clase está diseñada para entender cómo los gobiernos pueden responder eficazmente a comportamientos delictivos. Para ello, nos ocuparemos de una serie de temas diferentes, entre los que se incluyen los distintos modelos de actuación policial, el papel del encarcelamiento y la rehabilitación en la prevención de la reincidencia, las cámaras corporales y de calle para detectar y registrar la actividad delictiva, la violencia relacionada con el alcohol, la legalización y despenalización de las drogas y la investigación criminal, entre otras cuestiones.</w:t>
      </w:r>
    </w:p>
    <w:p w14:paraId="207F250A" w14:textId="77777777" w:rsidR="00F47CAF" w:rsidRPr="00A34BDB" w:rsidRDefault="00F47CAF" w:rsidP="00F47CAF">
      <w:pPr>
        <w:pBdr>
          <w:top w:val="nil"/>
          <w:left w:val="nil"/>
          <w:bottom w:val="nil"/>
          <w:right w:val="nil"/>
          <w:between w:val="nil"/>
        </w:pBdr>
        <w:jc w:val="both"/>
        <w:rPr>
          <w:rFonts w:eastAsia="Times"/>
          <w:lang w:val="es-CO"/>
        </w:rPr>
      </w:pPr>
    </w:p>
    <w:p w14:paraId="48BCBA70" w14:textId="51184184" w:rsidR="00F47CAF" w:rsidRPr="00A34BDB" w:rsidRDefault="00F47CAF" w:rsidP="00F47CAF">
      <w:pPr>
        <w:pBdr>
          <w:top w:val="nil"/>
          <w:left w:val="nil"/>
          <w:bottom w:val="nil"/>
          <w:right w:val="nil"/>
          <w:between w:val="nil"/>
        </w:pBdr>
        <w:jc w:val="both"/>
        <w:rPr>
          <w:rFonts w:eastAsia="Times"/>
          <w:color w:val="000000"/>
          <w:lang w:val="es-CO"/>
        </w:rPr>
      </w:pPr>
      <w:r w:rsidRPr="00A34BDB">
        <w:rPr>
          <w:rFonts w:eastAsia="Times"/>
          <w:color w:val="000000"/>
          <w:lang w:val="es-CO"/>
        </w:rPr>
        <w:t>A lo largo de la clase nos centraremos en la identificación causal; es decir, trataremos de garantizar que los efectos de las diferentes intervenciones políticas estudiadas puedan atribuirse a dichas intervenciones y no a otros factores de confusión. Teniendo en cuenta este enfoque, dedicaremos algún tiempo al principio del curso a repasar los fundamentos de la identificación causal y los modelos econométricos: evaluaremos las intuiciones y la mecánica que subyacen a los diseños de investigación cuasi-experimentales y experimentales, que son las formas más confiables de evaluar el impacto causal de intervenciones de política pública.</w:t>
      </w:r>
    </w:p>
    <w:p w14:paraId="2A96550C" w14:textId="64497D02" w:rsidR="00F47CAF" w:rsidRPr="00A34BDB" w:rsidRDefault="00F47CAF" w:rsidP="00F47CAF">
      <w:pPr>
        <w:pBdr>
          <w:top w:val="nil"/>
          <w:left w:val="nil"/>
          <w:bottom w:val="nil"/>
          <w:right w:val="nil"/>
          <w:between w:val="nil"/>
        </w:pBdr>
        <w:jc w:val="both"/>
        <w:rPr>
          <w:rFonts w:eastAsia="Times"/>
          <w:color w:val="000000"/>
          <w:lang w:val="es-CO"/>
        </w:rPr>
      </w:pPr>
    </w:p>
    <w:p w14:paraId="125D0E05" w14:textId="77777777" w:rsidR="00F47CAF" w:rsidRPr="00A34BDB" w:rsidRDefault="00F47CAF" w:rsidP="00F47CAF">
      <w:pPr>
        <w:pBdr>
          <w:top w:val="nil"/>
          <w:left w:val="nil"/>
          <w:bottom w:val="nil"/>
          <w:right w:val="nil"/>
          <w:between w:val="nil"/>
        </w:pBdr>
        <w:jc w:val="both"/>
        <w:rPr>
          <w:rFonts w:eastAsia="Times"/>
          <w:b/>
          <w:bCs/>
          <w:color w:val="000000"/>
          <w:lang w:val="es-CO"/>
        </w:rPr>
      </w:pPr>
    </w:p>
    <w:p w14:paraId="43447B80" w14:textId="557F5E9A" w:rsidR="00F47CAF" w:rsidRPr="00A34BDB" w:rsidRDefault="00F47CAF" w:rsidP="00F47CAF">
      <w:pPr>
        <w:pBdr>
          <w:top w:val="nil"/>
          <w:left w:val="nil"/>
          <w:bottom w:val="nil"/>
          <w:right w:val="nil"/>
          <w:between w:val="nil"/>
        </w:pBdr>
        <w:jc w:val="both"/>
        <w:rPr>
          <w:rFonts w:eastAsia="Times"/>
          <w:b/>
          <w:bCs/>
          <w:color w:val="000000"/>
          <w:lang w:val="es-CO"/>
        </w:rPr>
      </w:pPr>
      <w:r w:rsidRPr="00A34BDB">
        <w:rPr>
          <w:rFonts w:eastAsia="Times"/>
          <w:b/>
          <w:bCs/>
          <w:color w:val="000000"/>
          <w:lang w:val="es-CO"/>
        </w:rPr>
        <w:t>Política de calificaciones</w:t>
      </w:r>
    </w:p>
    <w:p w14:paraId="3542BD2F" w14:textId="77777777" w:rsidR="00F47CAF" w:rsidRPr="00A34BDB" w:rsidRDefault="00F47CAF" w:rsidP="00F47CAF">
      <w:pPr>
        <w:pBdr>
          <w:top w:val="nil"/>
          <w:left w:val="nil"/>
          <w:bottom w:val="nil"/>
          <w:right w:val="nil"/>
          <w:between w:val="nil"/>
        </w:pBdr>
        <w:jc w:val="both"/>
        <w:rPr>
          <w:rFonts w:eastAsia="Times"/>
          <w:color w:val="000000"/>
          <w:lang w:val="es-CO"/>
        </w:rPr>
      </w:pPr>
    </w:p>
    <w:p w14:paraId="055FFF93" w14:textId="3C6EBBB4" w:rsidR="00F47CAF" w:rsidRPr="00A34BDB" w:rsidRDefault="00F47CAF" w:rsidP="00F47CAF">
      <w:pPr>
        <w:pStyle w:val="ListParagraph"/>
        <w:numPr>
          <w:ilvl w:val="0"/>
          <w:numId w:val="1"/>
        </w:numPr>
        <w:pBdr>
          <w:top w:val="nil"/>
          <w:left w:val="nil"/>
          <w:bottom w:val="nil"/>
          <w:right w:val="nil"/>
          <w:between w:val="nil"/>
        </w:pBdr>
        <w:jc w:val="both"/>
        <w:rPr>
          <w:rFonts w:eastAsia="Times"/>
          <w:color w:val="000000"/>
          <w:lang w:val="es-CO"/>
        </w:rPr>
      </w:pPr>
      <w:r w:rsidRPr="00A34BDB">
        <w:rPr>
          <w:rFonts w:eastAsia="Times"/>
          <w:color w:val="000000"/>
          <w:lang w:val="es-CO"/>
        </w:rPr>
        <w:t>Asistencia y participación en clase (</w:t>
      </w:r>
      <w:r w:rsidRPr="00A34BDB">
        <w:rPr>
          <w:rFonts w:eastAsia="Times"/>
          <w:b/>
          <w:bCs/>
          <w:color w:val="000000"/>
          <w:lang w:val="es-CO"/>
        </w:rPr>
        <w:t>20%</w:t>
      </w:r>
      <w:r w:rsidRPr="00A34BDB">
        <w:rPr>
          <w:rFonts w:eastAsia="Times"/>
          <w:color w:val="000000"/>
          <w:lang w:val="es-CO"/>
        </w:rPr>
        <w:t>)</w:t>
      </w:r>
    </w:p>
    <w:p w14:paraId="7EEEFEA7" w14:textId="6E13B6FD" w:rsidR="00F47CAF" w:rsidRPr="00A34BDB" w:rsidRDefault="00F47CAF" w:rsidP="00F47CAF">
      <w:pPr>
        <w:pStyle w:val="ListParagraph"/>
        <w:numPr>
          <w:ilvl w:val="0"/>
          <w:numId w:val="1"/>
        </w:numPr>
        <w:pBdr>
          <w:top w:val="nil"/>
          <w:left w:val="nil"/>
          <w:bottom w:val="nil"/>
          <w:right w:val="nil"/>
          <w:between w:val="nil"/>
        </w:pBdr>
        <w:jc w:val="both"/>
        <w:rPr>
          <w:rFonts w:eastAsia="Times"/>
          <w:color w:val="000000"/>
          <w:lang w:val="es-CO"/>
        </w:rPr>
      </w:pPr>
      <w:r w:rsidRPr="00A34BDB">
        <w:rPr>
          <w:rFonts w:eastAsia="Times"/>
          <w:color w:val="000000"/>
          <w:lang w:val="es-CO"/>
        </w:rPr>
        <w:t>Examen parcial (</w:t>
      </w:r>
      <w:r w:rsidRPr="00A34BDB">
        <w:rPr>
          <w:rFonts w:eastAsia="Times"/>
          <w:b/>
          <w:bCs/>
          <w:color w:val="000000"/>
          <w:lang w:val="es-CO"/>
        </w:rPr>
        <w:t>30%)</w:t>
      </w:r>
    </w:p>
    <w:p w14:paraId="724D92C9" w14:textId="19D6837F" w:rsidR="00F47CAF" w:rsidRPr="00A34BDB" w:rsidRDefault="00F47CAF" w:rsidP="00F47CAF">
      <w:pPr>
        <w:pStyle w:val="ListParagraph"/>
        <w:numPr>
          <w:ilvl w:val="0"/>
          <w:numId w:val="1"/>
        </w:numPr>
        <w:pBdr>
          <w:top w:val="nil"/>
          <w:left w:val="nil"/>
          <w:bottom w:val="nil"/>
          <w:right w:val="nil"/>
          <w:between w:val="nil"/>
        </w:pBdr>
        <w:jc w:val="both"/>
        <w:rPr>
          <w:rFonts w:eastAsia="Times"/>
          <w:color w:val="000000"/>
          <w:lang w:val="es-CO"/>
        </w:rPr>
      </w:pPr>
      <w:r w:rsidRPr="00A34BDB">
        <w:rPr>
          <w:rFonts w:eastAsia="Times"/>
          <w:color w:val="000000"/>
          <w:lang w:val="es-CO"/>
        </w:rPr>
        <w:t>Trabajo final (</w:t>
      </w:r>
      <w:r w:rsidRPr="00A34BDB">
        <w:rPr>
          <w:rFonts w:eastAsia="Times"/>
          <w:b/>
          <w:bCs/>
          <w:color w:val="000000"/>
          <w:lang w:val="es-CO"/>
        </w:rPr>
        <w:t>50%)</w:t>
      </w:r>
    </w:p>
    <w:p w14:paraId="0B49314F" w14:textId="77777777" w:rsidR="00F47CAF" w:rsidRPr="00A34BDB" w:rsidRDefault="00F47CAF" w:rsidP="00F47CAF">
      <w:pPr>
        <w:pBdr>
          <w:top w:val="nil"/>
          <w:left w:val="nil"/>
          <w:bottom w:val="nil"/>
          <w:right w:val="nil"/>
          <w:between w:val="nil"/>
        </w:pBdr>
        <w:jc w:val="both"/>
        <w:rPr>
          <w:rFonts w:eastAsia="Times"/>
          <w:b/>
          <w:color w:val="000000"/>
          <w:lang w:val="es-CO"/>
        </w:rPr>
      </w:pPr>
    </w:p>
    <w:p w14:paraId="577C4540" w14:textId="39F4190F" w:rsidR="00F47CAF" w:rsidRPr="00A34BDB" w:rsidRDefault="00F47CAF">
      <w:pPr>
        <w:rPr>
          <w:lang w:val="es-CO"/>
        </w:rPr>
      </w:pPr>
    </w:p>
    <w:p w14:paraId="6934699D" w14:textId="77777777" w:rsidR="006F028B" w:rsidRPr="00A34BDB" w:rsidRDefault="00F47CAF" w:rsidP="006F028B">
      <w:pPr>
        <w:pBdr>
          <w:top w:val="nil"/>
          <w:left w:val="nil"/>
          <w:bottom w:val="nil"/>
          <w:right w:val="nil"/>
          <w:between w:val="nil"/>
        </w:pBdr>
        <w:jc w:val="both"/>
        <w:rPr>
          <w:rFonts w:eastAsia="Times"/>
          <w:b/>
          <w:bCs/>
          <w:i/>
          <w:iCs/>
          <w:color w:val="000000"/>
          <w:lang w:val="es-CO"/>
        </w:rPr>
      </w:pPr>
      <w:r w:rsidRPr="00A34BDB">
        <w:rPr>
          <w:rFonts w:eastAsia="Times"/>
          <w:b/>
          <w:bCs/>
          <w:i/>
          <w:iCs/>
          <w:color w:val="000000"/>
          <w:lang w:val="es-CO"/>
        </w:rPr>
        <w:t>Asistencia y participación en clase</w:t>
      </w:r>
    </w:p>
    <w:p w14:paraId="62E82351" w14:textId="3CF0492F" w:rsidR="007C3AF3" w:rsidRPr="00A34BDB" w:rsidRDefault="007C3AF3" w:rsidP="006F028B">
      <w:pPr>
        <w:pBdr>
          <w:top w:val="nil"/>
          <w:left w:val="nil"/>
          <w:bottom w:val="nil"/>
          <w:right w:val="nil"/>
          <w:between w:val="nil"/>
        </w:pBdr>
        <w:jc w:val="both"/>
        <w:rPr>
          <w:rFonts w:eastAsia="Times"/>
          <w:b/>
          <w:bCs/>
          <w:i/>
          <w:iCs/>
          <w:color w:val="000000"/>
          <w:lang w:val="es-CO"/>
        </w:rPr>
      </w:pPr>
      <w:r w:rsidRPr="00A34BDB">
        <w:rPr>
          <w:color w:val="111111"/>
          <w:lang w:val="es-CO"/>
        </w:rPr>
        <w:t>La participación en clase significa algo más que estar presente. L</w:t>
      </w:r>
      <w:r w:rsidR="00B67C3D" w:rsidRPr="00A34BDB">
        <w:rPr>
          <w:color w:val="111111"/>
          <w:lang w:val="es-CO"/>
        </w:rPr>
        <w:t>x</w:t>
      </w:r>
      <w:r w:rsidRPr="00A34BDB">
        <w:rPr>
          <w:color w:val="111111"/>
          <w:lang w:val="es-CO"/>
        </w:rPr>
        <w:t>s estudiantes deben llegar a clase cada día preparad</w:t>
      </w:r>
      <w:r w:rsidR="00B67C3D" w:rsidRPr="00A34BDB">
        <w:rPr>
          <w:color w:val="111111"/>
          <w:lang w:val="es-CO"/>
        </w:rPr>
        <w:t>x</w:t>
      </w:r>
      <w:r w:rsidRPr="00A34BDB">
        <w:rPr>
          <w:color w:val="111111"/>
          <w:lang w:val="es-CO"/>
        </w:rPr>
        <w:t>s para responder a las siguientes preguntas para al menos uno de los artículos asignados:</w:t>
      </w:r>
    </w:p>
    <w:p w14:paraId="7E9FC08D" w14:textId="0B4D9D72" w:rsidR="007C3AF3" w:rsidRPr="00A34BDB" w:rsidRDefault="007C3AF3" w:rsidP="001756EC">
      <w:pPr>
        <w:pStyle w:val="NormalWeb"/>
        <w:numPr>
          <w:ilvl w:val="0"/>
          <w:numId w:val="15"/>
        </w:numPr>
        <w:jc w:val="both"/>
        <w:rPr>
          <w:color w:val="111111"/>
        </w:rPr>
      </w:pPr>
      <w:r w:rsidRPr="00A34BDB">
        <w:rPr>
          <w:color w:val="111111"/>
        </w:rPr>
        <w:t>¿Cuál es la pregunta o preguntas principales a las que pretende responder el artículo?</w:t>
      </w:r>
    </w:p>
    <w:p w14:paraId="51AAD12A" w14:textId="70E13AE8" w:rsidR="007C3AF3" w:rsidRPr="00A34BDB" w:rsidRDefault="007C3AF3" w:rsidP="001756EC">
      <w:pPr>
        <w:pStyle w:val="NormalWeb"/>
        <w:numPr>
          <w:ilvl w:val="0"/>
          <w:numId w:val="15"/>
        </w:numPr>
        <w:jc w:val="both"/>
        <w:rPr>
          <w:color w:val="111111"/>
        </w:rPr>
      </w:pPr>
      <w:r w:rsidRPr="00A34BDB">
        <w:rPr>
          <w:color w:val="111111"/>
        </w:rPr>
        <w:t>¿Cuál es la respuesta proporcionada?</w:t>
      </w:r>
    </w:p>
    <w:p w14:paraId="2127207C" w14:textId="0B9DDB35" w:rsidR="007C3AF3" w:rsidRPr="00A34BDB" w:rsidRDefault="007C3AF3" w:rsidP="001756EC">
      <w:pPr>
        <w:pStyle w:val="NormalWeb"/>
        <w:numPr>
          <w:ilvl w:val="0"/>
          <w:numId w:val="15"/>
        </w:numPr>
        <w:jc w:val="both"/>
        <w:rPr>
          <w:color w:val="111111"/>
        </w:rPr>
      </w:pPr>
      <w:r w:rsidRPr="00A34BDB">
        <w:rPr>
          <w:color w:val="111111"/>
        </w:rPr>
        <w:t>¿Qué enfoque/metodología empírica se ha utilizado? Esto debe incluir la estrategia de identificación, es decir, ¿cómo intenta el autor superar los problemas centrales de la inferencia causal, incluidos el sesgo de selección, el sesgo de variable omitida o la causalidad inversa (endogeneidad)?</w:t>
      </w:r>
    </w:p>
    <w:p w14:paraId="751601EC" w14:textId="41EF3CB9" w:rsidR="007C3AF3" w:rsidRPr="00A34BDB" w:rsidRDefault="007C3AF3" w:rsidP="001756EC">
      <w:pPr>
        <w:pStyle w:val="NormalWeb"/>
        <w:numPr>
          <w:ilvl w:val="0"/>
          <w:numId w:val="15"/>
        </w:numPr>
        <w:jc w:val="both"/>
        <w:rPr>
          <w:color w:val="111111"/>
        </w:rPr>
      </w:pPr>
      <w:r w:rsidRPr="00A34BDB">
        <w:rPr>
          <w:color w:val="111111"/>
        </w:rPr>
        <w:t>¿Qué fuentes de datos se han utilizado? Especifique la estructura de los datos, el contexto, el periodo o periodos de tiempo cubiertos, etc.</w:t>
      </w:r>
    </w:p>
    <w:p w14:paraId="6854A282" w14:textId="11F94F17" w:rsidR="007C3AF3" w:rsidRPr="00A34BDB" w:rsidRDefault="007C3AF3" w:rsidP="001756EC">
      <w:pPr>
        <w:pStyle w:val="NormalWeb"/>
        <w:numPr>
          <w:ilvl w:val="0"/>
          <w:numId w:val="15"/>
        </w:numPr>
        <w:jc w:val="both"/>
        <w:rPr>
          <w:color w:val="111111"/>
        </w:rPr>
      </w:pPr>
      <w:r w:rsidRPr="00A34BDB">
        <w:rPr>
          <w:color w:val="111111"/>
        </w:rPr>
        <w:t>¿Qué ideas políticas pueden extraerse del artículo? Es decir, si creemos en las conclusiones, ¿qué deberían hacer los responsables políticos respecto al problema?</w:t>
      </w:r>
    </w:p>
    <w:p w14:paraId="11EB4519" w14:textId="245BDC94" w:rsidR="007C3AF3" w:rsidRPr="00A34BDB" w:rsidRDefault="007C3AF3" w:rsidP="001756EC">
      <w:pPr>
        <w:pStyle w:val="NormalWeb"/>
        <w:numPr>
          <w:ilvl w:val="0"/>
          <w:numId w:val="15"/>
        </w:numPr>
        <w:jc w:val="both"/>
        <w:rPr>
          <w:color w:val="111111"/>
        </w:rPr>
      </w:pPr>
      <w:r w:rsidRPr="00A34BDB">
        <w:rPr>
          <w:color w:val="111111"/>
        </w:rPr>
        <w:t>¿Cuánto costaría resolver el problema, o cuánto costaría si los responsables políticos no lo abordan?</w:t>
      </w:r>
    </w:p>
    <w:p w14:paraId="4D318A8C" w14:textId="7329EE95" w:rsidR="007C3AF3" w:rsidRPr="00A34BDB" w:rsidRDefault="007C3AF3" w:rsidP="001756EC">
      <w:pPr>
        <w:pStyle w:val="NormalWeb"/>
        <w:numPr>
          <w:ilvl w:val="0"/>
          <w:numId w:val="15"/>
        </w:numPr>
        <w:jc w:val="both"/>
        <w:rPr>
          <w:color w:val="111111"/>
        </w:rPr>
      </w:pPr>
      <w:r w:rsidRPr="00A34BDB">
        <w:rPr>
          <w:color w:val="111111"/>
        </w:rPr>
        <w:t xml:space="preserve">¿Es probable que la solución funcione en Colombia? En caso afirmativo, ¿dónde? En caso negativo, ¿por qué no? </w:t>
      </w:r>
    </w:p>
    <w:p w14:paraId="4028C5BB" w14:textId="2E6ADBE2" w:rsidR="00424F6D" w:rsidRPr="00A34BDB" w:rsidRDefault="007C3AF3" w:rsidP="007C3AF3">
      <w:pPr>
        <w:pStyle w:val="NormalWeb"/>
        <w:spacing w:before="0" w:beforeAutospacing="0" w:after="0" w:afterAutospacing="0"/>
        <w:jc w:val="both"/>
        <w:rPr>
          <w:color w:val="111111"/>
        </w:rPr>
      </w:pPr>
      <w:r w:rsidRPr="00A34BDB">
        <w:rPr>
          <w:color w:val="111111"/>
        </w:rPr>
        <w:t>L</w:t>
      </w:r>
      <w:r w:rsidR="00B67C3D" w:rsidRPr="00A34BDB">
        <w:rPr>
          <w:color w:val="111111"/>
        </w:rPr>
        <w:t>x</w:t>
      </w:r>
      <w:r w:rsidRPr="00A34BDB">
        <w:rPr>
          <w:color w:val="111111"/>
        </w:rPr>
        <w:t>s alumn</w:t>
      </w:r>
      <w:r w:rsidR="00B67C3D" w:rsidRPr="00A34BDB">
        <w:rPr>
          <w:color w:val="111111"/>
        </w:rPr>
        <w:t>x</w:t>
      </w:r>
      <w:r w:rsidRPr="00A34BDB">
        <w:rPr>
          <w:color w:val="111111"/>
        </w:rPr>
        <w:t>s que han asistido a mis clases saben cuánto valoro la puntualidad. Debes llegar a tiempo. Habrá un período de gracia de quince minutos al comienzo de la clase, pero después de ese período de gracia de quince minutos no deben entrar en el aula. Esto está motivado por el respeto a l</w:t>
      </w:r>
      <w:r w:rsidR="00B426BF" w:rsidRPr="00A34BDB">
        <w:rPr>
          <w:color w:val="111111"/>
        </w:rPr>
        <w:t>x</w:t>
      </w:r>
      <w:r w:rsidRPr="00A34BDB">
        <w:rPr>
          <w:color w:val="111111"/>
        </w:rPr>
        <w:t>s alumn</w:t>
      </w:r>
      <w:r w:rsidR="00B426BF" w:rsidRPr="00A34BDB">
        <w:rPr>
          <w:color w:val="111111"/>
        </w:rPr>
        <w:t>x</w:t>
      </w:r>
      <w:r w:rsidRPr="00A34BDB">
        <w:rPr>
          <w:color w:val="111111"/>
        </w:rPr>
        <w:t>s que sí llegan a tiempo: No les haré perder el tiempo interrumpiendo su experiencia de aprendizaje mientras otr</w:t>
      </w:r>
      <w:r w:rsidR="00C5284D" w:rsidRPr="00A34BDB">
        <w:rPr>
          <w:color w:val="111111"/>
        </w:rPr>
        <w:t>x</w:t>
      </w:r>
      <w:r w:rsidRPr="00A34BDB">
        <w:rPr>
          <w:color w:val="111111"/>
        </w:rPr>
        <w:t>s alumn</w:t>
      </w:r>
      <w:r w:rsidR="00C5284D" w:rsidRPr="00A34BDB">
        <w:rPr>
          <w:color w:val="111111"/>
        </w:rPr>
        <w:t>x</w:t>
      </w:r>
      <w:r w:rsidRPr="00A34BDB">
        <w:rPr>
          <w:color w:val="111111"/>
        </w:rPr>
        <w:t>s se incorporan tarde a la clase. Por favor, sea puntual.</w:t>
      </w:r>
    </w:p>
    <w:p w14:paraId="5CE36D74" w14:textId="77777777" w:rsidR="00F47CAF" w:rsidRPr="00A34BDB" w:rsidRDefault="00F47CAF" w:rsidP="00F47CAF">
      <w:pPr>
        <w:pBdr>
          <w:top w:val="nil"/>
          <w:left w:val="nil"/>
          <w:bottom w:val="nil"/>
          <w:right w:val="nil"/>
          <w:between w:val="nil"/>
        </w:pBdr>
        <w:jc w:val="both"/>
        <w:rPr>
          <w:rFonts w:eastAsia="Times"/>
          <w:color w:val="111111"/>
          <w:lang w:val="es-CO"/>
        </w:rPr>
      </w:pPr>
    </w:p>
    <w:p w14:paraId="64722ED0" w14:textId="05243294" w:rsidR="00F47CAF" w:rsidRPr="00A34BDB" w:rsidRDefault="00F47CAF">
      <w:pPr>
        <w:rPr>
          <w:lang w:val="es-CO"/>
        </w:rPr>
      </w:pPr>
    </w:p>
    <w:p w14:paraId="74E19373" w14:textId="255255D5" w:rsidR="00F47CAF" w:rsidRDefault="00F47CAF" w:rsidP="00F47CAF">
      <w:pPr>
        <w:jc w:val="both"/>
        <w:rPr>
          <w:rFonts w:eastAsia="Times"/>
          <w:b/>
          <w:bCs/>
          <w:i/>
          <w:lang w:val="es-CO"/>
        </w:rPr>
      </w:pPr>
      <w:r w:rsidRPr="00A34BDB">
        <w:rPr>
          <w:rFonts w:eastAsia="Times"/>
          <w:b/>
          <w:bCs/>
          <w:i/>
          <w:lang w:val="es-CO"/>
        </w:rPr>
        <w:t>Examen parcial</w:t>
      </w:r>
    </w:p>
    <w:p w14:paraId="62B380D4" w14:textId="77777777" w:rsidR="00D112E2" w:rsidRPr="00A34BDB" w:rsidRDefault="00D112E2" w:rsidP="00F47CAF">
      <w:pPr>
        <w:jc w:val="both"/>
        <w:rPr>
          <w:rFonts w:eastAsia="Times"/>
          <w:b/>
          <w:bCs/>
          <w:i/>
          <w:lang w:val="es-CO"/>
        </w:rPr>
      </w:pPr>
    </w:p>
    <w:p w14:paraId="58B51608" w14:textId="430059E6" w:rsidR="00F47CAF" w:rsidRPr="00A34BDB" w:rsidRDefault="00F47CAF" w:rsidP="00F47CAF">
      <w:pPr>
        <w:rPr>
          <w:rFonts w:eastAsia="Times"/>
          <w:lang w:val="es-CO"/>
        </w:rPr>
      </w:pPr>
      <w:r w:rsidRPr="00A34BDB">
        <w:rPr>
          <w:rFonts w:eastAsia="Times"/>
          <w:lang w:val="es-CO"/>
        </w:rPr>
        <w:t xml:space="preserve">El examen parcial se realizará en casa en un plazo de 48 horas. El examen le presentará un conjunto de problemas de política pública relacionados con </w:t>
      </w:r>
      <w:r w:rsidR="00B61D80">
        <w:rPr>
          <w:rFonts w:eastAsia="Times"/>
          <w:lang w:val="es-CO"/>
        </w:rPr>
        <w:t>el crimen</w:t>
      </w:r>
      <w:r w:rsidRPr="00A34BDB">
        <w:rPr>
          <w:rFonts w:eastAsia="Times"/>
          <w:lang w:val="es-CO"/>
        </w:rPr>
        <w:t xml:space="preserve">, así como breves descripciones de soluciones políticas que se han aplicado para abordar esos problemas. Tendrá que evaluar </w:t>
      </w:r>
      <w:r w:rsidR="00560B4F">
        <w:rPr>
          <w:rFonts w:eastAsia="Times"/>
          <w:lang w:val="es-CO"/>
        </w:rPr>
        <w:t xml:space="preserve">la evidencia </w:t>
      </w:r>
      <w:r w:rsidRPr="00A34BDB">
        <w:rPr>
          <w:rFonts w:eastAsia="Times"/>
          <w:lang w:val="es-CO"/>
        </w:rPr>
        <w:t>para determinar si le convence</w:t>
      </w:r>
      <w:r w:rsidR="009A5625">
        <w:rPr>
          <w:rFonts w:eastAsia="Times"/>
          <w:lang w:val="es-CO"/>
        </w:rPr>
        <w:t xml:space="preserve">n </w:t>
      </w:r>
      <w:r w:rsidRPr="00A34BDB">
        <w:rPr>
          <w:rFonts w:eastAsia="Times"/>
          <w:lang w:val="es-CO"/>
        </w:rPr>
        <w:t>(o no) las evaluaciones de impacto realizadas que supuestamente demuestran si un determinado programa ha funcionado</w:t>
      </w:r>
      <w:r w:rsidR="00E86BC7">
        <w:rPr>
          <w:rFonts w:eastAsia="Times"/>
          <w:lang w:val="es-CO"/>
        </w:rPr>
        <w:t xml:space="preserve"> (o no)</w:t>
      </w:r>
      <w:r w:rsidRPr="00A34BDB">
        <w:rPr>
          <w:rFonts w:eastAsia="Times"/>
          <w:lang w:val="es-CO"/>
        </w:rPr>
        <w:t>. Si la</w:t>
      </w:r>
      <w:r w:rsidR="00A6563F">
        <w:rPr>
          <w:rFonts w:eastAsia="Times"/>
          <w:lang w:val="es-CO"/>
        </w:rPr>
        <w:t xml:space="preserve"> evidencia </w:t>
      </w:r>
      <w:r w:rsidRPr="00A34BDB">
        <w:rPr>
          <w:rFonts w:eastAsia="Times"/>
          <w:lang w:val="es-CO"/>
        </w:rPr>
        <w:t xml:space="preserve">demuestra que el programa no ha funcionado, es posible que se le pregunte qué pruebas adicionales cree que deberían reunirse para fundamentar mejor el debate. El examen parcial se distribuirá el </w:t>
      </w:r>
      <w:r w:rsidR="00FC0619" w:rsidRPr="00FC0619">
        <w:rPr>
          <w:rFonts w:eastAsia="Times"/>
          <w:lang w:val="es-CO"/>
        </w:rPr>
        <w:t>15</w:t>
      </w:r>
      <w:r w:rsidRPr="00FC0619">
        <w:rPr>
          <w:rFonts w:eastAsia="Times"/>
          <w:lang w:val="es-CO"/>
        </w:rPr>
        <w:t xml:space="preserve"> de marzo</w:t>
      </w:r>
      <w:r w:rsidRPr="00A34BDB">
        <w:rPr>
          <w:rFonts w:eastAsia="Times"/>
          <w:lang w:val="es-CO"/>
        </w:rPr>
        <w:t xml:space="preserve"> y deberá entregarse el </w:t>
      </w:r>
      <w:r w:rsidR="00FC0619" w:rsidRPr="00FC0619">
        <w:rPr>
          <w:rFonts w:eastAsia="Times"/>
          <w:lang w:val="es-CO"/>
        </w:rPr>
        <w:t>17</w:t>
      </w:r>
      <w:r w:rsidRPr="00FC0619">
        <w:rPr>
          <w:rFonts w:eastAsia="Times"/>
          <w:lang w:val="es-CO"/>
        </w:rPr>
        <w:t xml:space="preserve"> de marzo</w:t>
      </w:r>
      <w:r w:rsidRPr="00A34BDB">
        <w:rPr>
          <w:rFonts w:eastAsia="Times"/>
          <w:lang w:val="es-CO"/>
        </w:rPr>
        <w:t>.</w:t>
      </w:r>
    </w:p>
    <w:p w14:paraId="407D297F" w14:textId="1CADBA2A" w:rsidR="00F47CAF" w:rsidRPr="00A34BDB" w:rsidRDefault="00F47CAF" w:rsidP="00F47CAF">
      <w:pPr>
        <w:rPr>
          <w:rFonts w:eastAsia="Times"/>
          <w:lang w:val="es-CO"/>
        </w:rPr>
      </w:pPr>
    </w:p>
    <w:p w14:paraId="0B7962AE" w14:textId="77777777" w:rsidR="006F028B" w:rsidRPr="00A34BDB" w:rsidRDefault="006F028B" w:rsidP="00571D35">
      <w:pPr>
        <w:rPr>
          <w:b/>
          <w:bCs/>
          <w:i/>
          <w:iCs/>
          <w:lang w:val="es-CO"/>
        </w:rPr>
      </w:pPr>
    </w:p>
    <w:p w14:paraId="08EC574C" w14:textId="1B62248D" w:rsidR="00571D35" w:rsidRDefault="00571D35" w:rsidP="00571D35">
      <w:pPr>
        <w:rPr>
          <w:b/>
          <w:bCs/>
          <w:i/>
          <w:iCs/>
          <w:lang w:val="es-CO"/>
        </w:rPr>
      </w:pPr>
      <w:r w:rsidRPr="00A34BDB">
        <w:rPr>
          <w:b/>
          <w:bCs/>
          <w:i/>
          <w:iCs/>
          <w:lang w:val="es-CO"/>
        </w:rPr>
        <w:t>Proyecto final</w:t>
      </w:r>
    </w:p>
    <w:p w14:paraId="1F20FF67" w14:textId="77777777" w:rsidR="00D112E2" w:rsidRPr="00A34BDB" w:rsidRDefault="00D112E2" w:rsidP="00571D35">
      <w:pPr>
        <w:rPr>
          <w:b/>
          <w:bCs/>
          <w:i/>
          <w:iCs/>
          <w:lang w:val="es-CO"/>
        </w:rPr>
      </w:pPr>
    </w:p>
    <w:p w14:paraId="70082501" w14:textId="1DF9FEA4" w:rsidR="00571D35" w:rsidRPr="00A34BDB" w:rsidRDefault="00571D35" w:rsidP="00571D35">
      <w:pPr>
        <w:rPr>
          <w:lang w:val="es-CO"/>
        </w:rPr>
      </w:pPr>
      <w:r w:rsidRPr="00A34BDB">
        <w:rPr>
          <w:lang w:val="es-CO"/>
        </w:rPr>
        <w:t>El proyecto final pedirá a l</w:t>
      </w:r>
      <w:r w:rsidR="002F1F89" w:rsidRPr="00A34BDB">
        <w:rPr>
          <w:lang w:val="es-CO"/>
        </w:rPr>
        <w:t>x</w:t>
      </w:r>
      <w:r w:rsidRPr="00A34BDB">
        <w:rPr>
          <w:lang w:val="es-CO"/>
        </w:rPr>
        <w:t xml:space="preserve">s estudiantes que, </w:t>
      </w:r>
      <w:r w:rsidRPr="00A34BDB">
        <w:rPr>
          <w:u w:val="single"/>
          <w:lang w:val="es-CO"/>
        </w:rPr>
        <w:t>en grupos determinados al azar</w:t>
      </w:r>
      <w:r w:rsidRPr="00A34BDB">
        <w:rPr>
          <w:lang w:val="es-CO"/>
        </w:rPr>
        <w:t>, diseñen una solución política a uno de los siguientes problemas centrales de Colombia:</w:t>
      </w:r>
    </w:p>
    <w:p w14:paraId="03807900" w14:textId="11FEEE79" w:rsidR="00571D35" w:rsidRPr="00A34BDB" w:rsidRDefault="00571D35" w:rsidP="00571D35">
      <w:pPr>
        <w:pStyle w:val="ListParagraph"/>
        <w:numPr>
          <w:ilvl w:val="0"/>
          <w:numId w:val="3"/>
        </w:numPr>
        <w:rPr>
          <w:lang w:val="es-CO"/>
        </w:rPr>
      </w:pPr>
      <w:r w:rsidRPr="00A34BDB">
        <w:rPr>
          <w:lang w:val="es-CO"/>
        </w:rPr>
        <w:t xml:space="preserve">Uso excesivo de la fuerza por parte de la policía </w:t>
      </w:r>
    </w:p>
    <w:p w14:paraId="72AE9C2F" w14:textId="2D0533AA" w:rsidR="00571D35" w:rsidRPr="00A34BDB" w:rsidRDefault="00571D35" w:rsidP="00571D35">
      <w:pPr>
        <w:pStyle w:val="ListParagraph"/>
        <w:numPr>
          <w:ilvl w:val="0"/>
          <w:numId w:val="3"/>
        </w:numPr>
        <w:rPr>
          <w:lang w:val="es-CO"/>
        </w:rPr>
      </w:pPr>
      <w:r w:rsidRPr="00A34BDB">
        <w:rPr>
          <w:lang w:val="es-CO"/>
        </w:rPr>
        <w:t xml:space="preserve">Corrupción policial </w:t>
      </w:r>
    </w:p>
    <w:p w14:paraId="2FAAB734" w14:textId="11953D54" w:rsidR="00571D35" w:rsidRPr="00A34BDB" w:rsidRDefault="00571D35" w:rsidP="00571D35">
      <w:pPr>
        <w:pStyle w:val="ListParagraph"/>
        <w:numPr>
          <w:ilvl w:val="0"/>
          <w:numId w:val="3"/>
        </w:numPr>
        <w:rPr>
          <w:lang w:val="es-CO"/>
        </w:rPr>
      </w:pPr>
      <w:r w:rsidRPr="00A34BDB">
        <w:rPr>
          <w:lang w:val="es-CO"/>
        </w:rPr>
        <w:t xml:space="preserve">Altos niveles de apoyo a la policía militar </w:t>
      </w:r>
    </w:p>
    <w:p w14:paraId="434310BE" w14:textId="31ACB219" w:rsidR="00571D35" w:rsidRPr="00A34BDB" w:rsidRDefault="00571D35" w:rsidP="00571D35">
      <w:pPr>
        <w:pStyle w:val="ListParagraph"/>
        <w:numPr>
          <w:ilvl w:val="0"/>
          <w:numId w:val="3"/>
        </w:numPr>
        <w:rPr>
          <w:lang w:val="es-CO"/>
        </w:rPr>
      </w:pPr>
      <w:r w:rsidRPr="00A34BDB">
        <w:rPr>
          <w:lang w:val="es-CO"/>
        </w:rPr>
        <w:t xml:space="preserve">Robos a mano armada en Transmilenio en Bogotá </w:t>
      </w:r>
    </w:p>
    <w:p w14:paraId="7EE63478" w14:textId="2520E90B" w:rsidR="00571D35" w:rsidRPr="00A34BDB" w:rsidRDefault="00571D35" w:rsidP="00571D35">
      <w:pPr>
        <w:pStyle w:val="ListParagraph"/>
        <w:numPr>
          <w:ilvl w:val="0"/>
          <w:numId w:val="3"/>
        </w:numPr>
        <w:rPr>
          <w:lang w:val="es-CO"/>
        </w:rPr>
      </w:pPr>
      <w:r w:rsidRPr="00A34BDB">
        <w:rPr>
          <w:lang w:val="es-CO"/>
        </w:rPr>
        <w:t xml:space="preserve">Violencia relacionada con el alcohol </w:t>
      </w:r>
    </w:p>
    <w:p w14:paraId="4FCBAC9B" w14:textId="77C44EA3" w:rsidR="00F47CAF" w:rsidRPr="00A34BDB" w:rsidRDefault="00571D35" w:rsidP="00571D35">
      <w:pPr>
        <w:pStyle w:val="ListParagraph"/>
        <w:numPr>
          <w:ilvl w:val="0"/>
          <w:numId w:val="3"/>
        </w:numPr>
        <w:rPr>
          <w:lang w:val="es-CO"/>
        </w:rPr>
      </w:pPr>
      <w:r w:rsidRPr="00A34BDB">
        <w:rPr>
          <w:lang w:val="es-CO"/>
        </w:rPr>
        <w:t>Violencia de género</w:t>
      </w:r>
    </w:p>
    <w:p w14:paraId="2461DC0F" w14:textId="5943F33B" w:rsidR="00571D35" w:rsidRPr="00A34BDB" w:rsidRDefault="00571D35" w:rsidP="00571D35">
      <w:pPr>
        <w:rPr>
          <w:lang w:val="es-CO"/>
        </w:rPr>
      </w:pPr>
    </w:p>
    <w:p w14:paraId="40403F62" w14:textId="4FF2E583" w:rsidR="00571D35" w:rsidRDefault="00571D35" w:rsidP="00571D35">
      <w:pPr>
        <w:rPr>
          <w:i/>
          <w:iCs/>
          <w:lang w:val="es-CO"/>
        </w:rPr>
      </w:pPr>
      <w:r w:rsidRPr="00A34BDB">
        <w:rPr>
          <w:u w:val="single"/>
          <w:lang w:val="es-CO"/>
        </w:rPr>
        <w:t>A continuación, se sugiere una estructura para el proyecto final</w:t>
      </w:r>
      <w:r w:rsidRPr="00A34BDB">
        <w:rPr>
          <w:i/>
          <w:iCs/>
          <w:lang w:val="es-CO"/>
        </w:rPr>
        <w:t xml:space="preserve">: </w:t>
      </w:r>
    </w:p>
    <w:p w14:paraId="345BBD4A" w14:textId="77777777" w:rsidR="00D112E2" w:rsidRPr="00A34BDB" w:rsidRDefault="00D112E2" w:rsidP="00571D35">
      <w:pPr>
        <w:rPr>
          <w:i/>
          <w:iCs/>
          <w:lang w:val="es-CO"/>
        </w:rPr>
      </w:pPr>
    </w:p>
    <w:p w14:paraId="1E42F28A" w14:textId="09AB73C0" w:rsidR="00571D35" w:rsidRPr="00A34BDB" w:rsidRDefault="00571D35" w:rsidP="00571D35">
      <w:pPr>
        <w:rPr>
          <w:lang w:val="es-CO"/>
        </w:rPr>
      </w:pPr>
      <w:r w:rsidRPr="00A34BDB">
        <w:rPr>
          <w:lang w:val="es-CO"/>
        </w:rPr>
        <w:t>(i) Alcance y cost</w:t>
      </w:r>
      <w:r w:rsidR="00D43F9F">
        <w:rPr>
          <w:lang w:val="es-CO"/>
        </w:rPr>
        <w:t>o</w:t>
      </w:r>
      <w:r w:rsidRPr="00A34BDB">
        <w:rPr>
          <w:lang w:val="es-CO"/>
        </w:rPr>
        <w:t xml:space="preserve">s del problema </w:t>
      </w:r>
    </w:p>
    <w:p w14:paraId="095F4C36" w14:textId="4B6FFB9B" w:rsidR="00571D35" w:rsidRPr="00A34BDB" w:rsidRDefault="00571D35" w:rsidP="00571D35">
      <w:pPr>
        <w:rPr>
          <w:lang w:val="es-CO"/>
        </w:rPr>
      </w:pPr>
      <w:r w:rsidRPr="00A34BDB">
        <w:rPr>
          <w:lang w:val="es-CO"/>
        </w:rPr>
        <w:t>(ii) Qué sabemos sobre cómo se han aplicado en otros lugares las soluciones a este problema</w:t>
      </w:r>
    </w:p>
    <w:p w14:paraId="27FB7050" w14:textId="51386E03" w:rsidR="00571D35" w:rsidRPr="00A34BDB" w:rsidRDefault="00571D35" w:rsidP="00571D35">
      <w:pPr>
        <w:pStyle w:val="ListParagraph"/>
        <w:numPr>
          <w:ilvl w:val="0"/>
          <w:numId w:val="5"/>
        </w:numPr>
        <w:rPr>
          <w:lang w:val="es-CO"/>
        </w:rPr>
      </w:pPr>
      <w:r w:rsidRPr="00A34BDB">
        <w:rPr>
          <w:lang w:val="es-CO"/>
        </w:rPr>
        <w:t xml:space="preserve">¿Cuál es la solidez de las pruebas existentes? </w:t>
      </w:r>
    </w:p>
    <w:p w14:paraId="7410657B" w14:textId="755EE382" w:rsidR="00571D35" w:rsidRPr="00A34BDB" w:rsidRDefault="00571D35" w:rsidP="00571D35">
      <w:pPr>
        <w:rPr>
          <w:lang w:val="es-CO"/>
        </w:rPr>
      </w:pPr>
      <w:r w:rsidRPr="00A34BDB">
        <w:rPr>
          <w:lang w:val="es-CO"/>
        </w:rPr>
        <w:t>(iii) Solución propuesta para Colombia</w:t>
      </w:r>
    </w:p>
    <w:p w14:paraId="793129F4" w14:textId="77777777" w:rsidR="00571D35" w:rsidRPr="00A34BDB" w:rsidRDefault="00571D35" w:rsidP="00571D35">
      <w:pPr>
        <w:pStyle w:val="ListParagraph"/>
        <w:numPr>
          <w:ilvl w:val="0"/>
          <w:numId w:val="5"/>
        </w:numPr>
        <w:rPr>
          <w:lang w:val="es-CO"/>
        </w:rPr>
      </w:pPr>
      <w:r w:rsidRPr="00A34BDB">
        <w:rPr>
          <w:lang w:val="es-CO"/>
        </w:rPr>
        <w:t xml:space="preserve">¿Por qué cree que funcionaría en Colombia? </w:t>
      </w:r>
    </w:p>
    <w:p w14:paraId="66C7E783" w14:textId="77777777" w:rsidR="00571D35" w:rsidRPr="00A34BDB" w:rsidRDefault="00571D35" w:rsidP="00571D35">
      <w:pPr>
        <w:pStyle w:val="ListParagraph"/>
        <w:numPr>
          <w:ilvl w:val="0"/>
          <w:numId w:val="5"/>
        </w:numPr>
        <w:rPr>
          <w:lang w:val="es-CO"/>
        </w:rPr>
      </w:pPr>
      <w:r w:rsidRPr="00A34BDB">
        <w:rPr>
          <w:lang w:val="es-CO"/>
        </w:rPr>
        <w:t xml:space="preserve">¿Dónde implementaría específicamente la solución y por qué? </w:t>
      </w:r>
    </w:p>
    <w:p w14:paraId="20A5B7BB" w14:textId="77777777" w:rsidR="00571D35" w:rsidRPr="00A34BDB" w:rsidRDefault="00571D35" w:rsidP="00571D35">
      <w:pPr>
        <w:pStyle w:val="ListParagraph"/>
        <w:numPr>
          <w:ilvl w:val="0"/>
          <w:numId w:val="5"/>
        </w:numPr>
        <w:rPr>
          <w:lang w:val="es-CO"/>
        </w:rPr>
      </w:pPr>
      <w:r w:rsidRPr="00A34BDB">
        <w:rPr>
          <w:lang w:val="es-CO"/>
        </w:rPr>
        <w:t>¿Cómo podrían adaptarse uno o más aspectos de la solución?</w:t>
      </w:r>
    </w:p>
    <w:p w14:paraId="74422BB6" w14:textId="529E5EBF" w:rsidR="00571D35" w:rsidRPr="00A34BDB" w:rsidRDefault="00571D35" w:rsidP="00571D35">
      <w:pPr>
        <w:pStyle w:val="ListParagraph"/>
        <w:numPr>
          <w:ilvl w:val="0"/>
          <w:numId w:val="5"/>
        </w:numPr>
        <w:rPr>
          <w:lang w:val="es-CO"/>
        </w:rPr>
      </w:pPr>
      <w:r w:rsidRPr="00A34BDB">
        <w:rPr>
          <w:lang w:val="es-CO"/>
        </w:rPr>
        <w:t xml:space="preserve">Mapeo institucional de los actores principales (intereses e influencia para bloquear cualquier reforma que se proponga) </w:t>
      </w:r>
    </w:p>
    <w:p w14:paraId="25AA6C1C" w14:textId="77777777" w:rsidR="00571D35" w:rsidRPr="00A34BDB" w:rsidRDefault="00571D35" w:rsidP="00571D35">
      <w:pPr>
        <w:rPr>
          <w:lang w:val="es-CO"/>
        </w:rPr>
      </w:pPr>
      <w:r w:rsidRPr="00A34BDB">
        <w:rPr>
          <w:lang w:val="es-CO"/>
        </w:rPr>
        <w:t xml:space="preserve">(iv) Plan para una evaluación del impacto del programa </w:t>
      </w:r>
    </w:p>
    <w:p w14:paraId="2AE81FEB" w14:textId="34605FCB" w:rsidR="00571D35" w:rsidRPr="00A34BDB" w:rsidRDefault="00571D35" w:rsidP="00571D35">
      <w:pPr>
        <w:pStyle w:val="ListParagraph"/>
        <w:numPr>
          <w:ilvl w:val="0"/>
          <w:numId w:val="5"/>
        </w:numPr>
        <w:rPr>
          <w:lang w:val="es-CO"/>
        </w:rPr>
      </w:pPr>
      <w:r w:rsidRPr="00A34BDB">
        <w:rPr>
          <w:lang w:val="es-CO"/>
        </w:rPr>
        <w:t xml:space="preserve">¿Cuáles son las principales amenazas para la inferencia? </w:t>
      </w:r>
    </w:p>
    <w:p w14:paraId="6A6420DF" w14:textId="77777777" w:rsidR="00932130" w:rsidRDefault="00932130" w:rsidP="00571D35">
      <w:pPr>
        <w:rPr>
          <w:lang w:val="es-CO"/>
        </w:rPr>
      </w:pPr>
    </w:p>
    <w:p w14:paraId="5A26D318" w14:textId="147A0878" w:rsidR="00571D35" w:rsidRDefault="00571D35" w:rsidP="00571D35">
      <w:pPr>
        <w:rPr>
          <w:lang w:val="es-CO"/>
        </w:rPr>
      </w:pPr>
      <w:r w:rsidRPr="00A34BDB">
        <w:rPr>
          <w:lang w:val="es-CO"/>
        </w:rPr>
        <w:t>Todos los grupos harán una breve presentación de sus proyectos finales al final del semestre, momento en el que tendremos la oportunidad de hacer preguntas y debatir. Además, cada grupo se encargará de proporcionar retroalimentación a otro grupo asignado ese mismo día.</w:t>
      </w:r>
    </w:p>
    <w:p w14:paraId="28A39F2A" w14:textId="281DD13F" w:rsidR="00347CC0" w:rsidRDefault="00347CC0" w:rsidP="00571D35">
      <w:pPr>
        <w:rPr>
          <w:lang w:val="es-CO"/>
        </w:rPr>
      </w:pPr>
    </w:p>
    <w:p w14:paraId="1AF12033" w14:textId="19524AAC" w:rsidR="00347CC0" w:rsidRPr="00A34BDB" w:rsidRDefault="00347CC0" w:rsidP="00571D35">
      <w:pPr>
        <w:rPr>
          <w:lang w:val="es-CO"/>
        </w:rPr>
      </w:pPr>
      <w:r>
        <w:rPr>
          <w:lang w:val="es-CO"/>
        </w:rPr>
        <w:t xml:space="preserve">El proyecto final se debe entregar </w:t>
      </w:r>
      <w:r w:rsidR="00B1147E">
        <w:rPr>
          <w:lang w:val="es-CO"/>
        </w:rPr>
        <w:t xml:space="preserve">antes de las 11:59pm el 2 de junio. </w:t>
      </w:r>
    </w:p>
    <w:p w14:paraId="23B6DCC8" w14:textId="77777777" w:rsidR="00F40F40" w:rsidRPr="00A34BDB" w:rsidRDefault="00F40F40" w:rsidP="00571D35">
      <w:pPr>
        <w:rPr>
          <w:b/>
          <w:bCs/>
          <w:i/>
          <w:iCs/>
          <w:lang w:val="es-CO"/>
        </w:rPr>
      </w:pPr>
    </w:p>
    <w:p w14:paraId="2B13301A" w14:textId="459FEF94" w:rsidR="00571D35" w:rsidRPr="00A34BDB" w:rsidRDefault="00571D35" w:rsidP="00571D35">
      <w:pPr>
        <w:rPr>
          <w:b/>
          <w:bCs/>
          <w:lang w:val="es-CO"/>
        </w:rPr>
      </w:pPr>
      <w:r w:rsidRPr="00A34BDB">
        <w:rPr>
          <w:b/>
          <w:bCs/>
          <w:lang w:val="es-CO"/>
        </w:rPr>
        <w:t>Objetivos de aprendizaje</w:t>
      </w:r>
    </w:p>
    <w:p w14:paraId="1A292BFD" w14:textId="77777777" w:rsidR="00571D35" w:rsidRPr="00A34BDB" w:rsidRDefault="00571D35" w:rsidP="00571D35">
      <w:pPr>
        <w:rPr>
          <w:lang w:val="es-CO"/>
        </w:rPr>
      </w:pPr>
    </w:p>
    <w:p w14:paraId="5C2192CA" w14:textId="072EC832" w:rsidR="00571D35" w:rsidRPr="00A34BDB" w:rsidRDefault="00571D35" w:rsidP="00571D35">
      <w:pPr>
        <w:rPr>
          <w:lang w:val="es-CO"/>
        </w:rPr>
      </w:pPr>
      <w:r w:rsidRPr="00A34BDB">
        <w:rPr>
          <w:lang w:val="es-CO"/>
        </w:rPr>
        <w:t>L</w:t>
      </w:r>
      <w:r w:rsidR="00275710" w:rsidRPr="00A34BDB">
        <w:rPr>
          <w:lang w:val="es-CO"/>
        </w:rPr>
        <w:t>x</w:t>
      </w:r>
      <w:r w:rsidRPr="00A34BDB">
        <w:rPr>
          <w:lang w:val="es-CO"/>
        </w:rPr>
        <w:t>s estudiantes adquirirán una comprensión del problema del crimen, revisarán las soluciones que se han implementado (principalmente fuera de Colombia) y aplicarán lo que han aprendido de otros contextos a los problemas locales en Colombia. El enfoque en los problemas que enfrentan las comunidades asediadas por el crimen permitirá a l</w:t>
      </w:r>
      <w:r w:rsidR="00ED160E" w:rsidRPr="00A34BDB">
        <w:rPr>
          <w:lang w:val="es-CO"/>
        </w:rPr>
        <w:t>x</w:t>
      </w:r>
      <w:r w:rsidRPr="00A34BDB">
        <w:rPr>
          <w:lang w:val="es-CO"/>
        </w:rPr>
        <w:t>s estudiantes entender la complejidad de las intervenciones contra el crimen y la justicia, incluyendo los costos sociales y económicos asociados con tales políticas, y proponer soluciones más efectivas y eficientes basadas en lo que se ha demostrado convincentemente que ha funcionado. En el proceso, l</w:t>
      </w:r>
      <w:r w:rsidR="00ED160E" w:rsidRPr="00A34BDB">
        <w:rPr>
          <w:lang w:val="es-CO"/>
        </w:rPr>
        <w:t>x</w:t>
      </w:r>
      <w:r w:rsidRPr="00A34BDB">
        <w:rPr>
          <w:lang w:val="es-CO"/>
        </w:rPr>
        <w:t>s estudiantes obtendrán importantes herramientas metodológicas relacionadas con la evaluación de impacto que deberían tener efectos "indirectos" positivos en otros cursos dentro y fuera de la Escuela de Gobierno, así como en sus contextos profesionales. Al final de este curso, l</w:t>
      </w:r>
      <w:r w:rsidR="000470E4" w:rsidRPr="00A34BDB">
        <w:rPr>
          <w:lang w:val="es-CO"/>
        </w:rPr>
        <w:t>x</w:t>
      </w:r>
      <w:r w:rsidRPr="00A34BDB">
        <w:rPr>
          <w:lang w:val="es-CO"/>
        </w:rPr>
        <w:t xml:space="preserve">s estudiantes deben ser capaces de </w:t>
      </w:r>
      <w:r w:rsidRPr="00A34BDB">
        <w:rPr>
          <w:lang w:val="es-CO"/>
        </w:rPr>
        <w:lastRenderedPageBreak/>
        <w:t>entender no sólo lo que funciona y por qué en la prevención del delito y la administración de justicia, sino también la mejor manera de evaluar las futuras intervenciones en este ámbito.</w:t>
      </w:r>
    </w:p>
    <w:p w14:paraId="2996C7A6" w14:textId="77777777" w:rsidR="00D15D18" w:rsidRPr="00A34BDB" w:rsidRDefault="00D15D18" w:rsidP="00571D35">
      <w:pPr>
        <w:rPr>
          <w:lang w:val="es-CO"/>
        </w:rPr>
      </w:pPr>
    </w:p>
    <w:p w14:paraId="5F1CF1CC" w14:textId="5B29CE80" w:rsidR="0094639E" w:rsidRPr="00A34BDB" w:rsidRDefault="00DF0166" w:rsidP="00571D35">
      <w:pPr>
        <w:rPr>
          <w:b/>
          <w:bCs/>
          <w:lang w:val="es-CO"/>
        </w:rPr>
      </w:pPr>
      <w:r w:rsidRPr="00A34BDB">
        <w:rPr>
          <w:b/>
          <w:bCs/>
          <w:lang w:val="es-CO"/>
        </w:rPr>
        <w:t>Qué es esta clase y qué no es</w:t>
      </w:r>
    </w:p>
    <w:p w14:paraId="6DE3F6D7" w14:textId="77777777" w:rsidR="006F028B" w:rsidRPr="00A34BDB" w:rsidRDefault="006F028B" w:rsidP="00571D35">
      <w:pPr>
        <w:rPr>
          <w:b/>
          <w:bCs/>
          <w:lang w:val="es-CO"/>
        </w:rPr>
      </w:pPr>
    </w:p>
    <w:p w14:paraId="0BB9143E" w14:textId="4E24683D" w:rsidR="00DF0166" w:rsidRPr="00A34BDB" w:rsidRDefault="0094639E" w:rsidP="00571D35">
      <w:pPr>
        <w:rPr>
          <w:lang w:val="es-CO"/>
        </w:rPr>
      </w:pPr>
      <w:r w:rsidRPr="00A34BDB">
        <w:rPr>
          <w:lang w:val="es-CO"/>
        </w:rPr>
        <w:t xml:space="preserve">Este curso no pretende ofrecer una visión exhaustiva del crimen. Ignoraremos en gran medida las percepciones y experiencias de las víctimas del crimen, las causas y consecuencias políticas del crimen, las raíces psicológicas o sociológicas del crimen, entre otras muchas facetas. Nuestro principal interés es examinar qué políticas públicas "funcionan" y qué políticas públicas no "funcionan" en la reducción del crimen, donde el "éxito" se juzga principalmente en términos de </w:t>
      </w:r>
      <w:r w:rsidR="0093374F">
        <w:rPr>
          <w:lang w:val="es-CO"/>
        </w:rPr>
        <w:t xml:space="preserve">eficacia </w:t>
      </w:r>
      <w:r w:rsidRPr="00A34BDB">
        <w:rPr>
          <w:lang w:val="es-CO"/>
        </w:rPr>
        <w:t xml:space="preserve">(¿cumple la política su propósito?) y </w:t>
      </w:r>
      <w:r w:rsidR="0093374F">
        <w:rPr>
          <w:lang w:val="es-CO"/>
        </w:rPr>
        <w:t>eficiencia</w:t>
      </w:r>
      <w:r w:rsidRPr="00A34BDB">
        <w:rPr>
          <w:lang w:val="es-CO"/>
        </w:rPr>
        <w:t xml:space="preserve"> (¿cumple la política su propósito de la mejor manera posible, con la menor pérdida de tiempo/esfuerzo/dinero, en comparación con las alternativas?)</w:t>
      </w:r>
      <w:r w:rsidR="00763C70">
        <w:rPr>
          <w:lang w:val="es-CO"/>
        </w:rPr>
        <w:t>.</w:t>
      </w:r>
      <w:r w:rsidRPr="00A34BDB">
        <w:rPr>
          <w:lang w:val="es-CO"/>
        </w:rPr>
        <w:t xml:space="preserve"> Reconozco que se trata tanto de una definición estrecha del éxito como de una visión parcial del crimen, pero el tiempo apremia.</w:t>
      </w:r>
    </w:p>
    <w:p w14:paraId="5EA7DC5A" w14:textId="77777777" w:rsidR="00653A6D" w:rsidRPr="00A34BDB" w:rsidRDefault="00653A6D" w:rsidP="00571D35">
      <w:pPr>
        <w:rPr>
          <w:lang w:val="es-CO"/>
        </w:rPr>
      </w:pPr>
    </w:p>
    <w:p w14:paraId="18C5F684" w14:textId="559D2F43" w:rsidR="00653A6D" w:rsidRPr="00A34BDB" w:rsidRDefault="00653A6D" w:rsidP="00571D35">
      <w:pPr>
        <w:rPr>
          <w:lang w:val="es-CO"/>
        </w:rPr>
      </w:pPr>
      <w:r w:rsidRPr="00A34BDB">
        <w:rPr>
          <w:lang w:val="es-CO"/>
        </w:rPr>
        <w:t xml:space="preserve">También ignoraremos casi por completo las cuestiones relativas a la </w:t>
      </w:r>
      <w:r w:rsidR="00763C70">
        <w:rPr>
          <w:lang w:val="es-CO"/>
        </w:rPr>
        <w:t xml:space="preserve">implementación </w:t>
      </w:r>
      <w:r w:rsidRPr="00A34BDB">
        <w:rPr>
          <w:lang w:val="es-CO"/>
        </w:rPr>
        <w:t xml:space="preserve">de las políticas </w:t>
      </w:r>
      <w:r w:rsidR="00AF5BA6">
        <w:rPr>
          <w:lang w:val="es-CO"/>
        </w:rPr>
        <w:t xml:space="preserve">públicas </w:t>
      </w:r>
      <w:r w:rsidRPr="00A34BDB">
        <w:rPr>
          <w:lang w:val="es-CO"/>
        </w:rPr>
        <w:t>y sólo debatiremos estas cuestiones en la medida en que se relacionen con la aplicación "fiel" de modelos específicos de prevención de la delincuencia, para comprender si el hecho de no obtener los resultados deseados se debe a que no se ha aplicado un programa determinado como se esperaba. La coordinación entre las autoridades judiciales y policiales, por ejemplo, es fascinante y crucial para el éxito de las políticas, pero queda fuera del alcance de esta clase. Lo mismo ocurre con el debate sobre el papel que puede desempeñar la sociedad civil en materia de seguridad ciudadana. A lo largo del semestre espero que reconozcamos explícitamente en qué medida la perspectiva que he decidido adoptar para esta clase se queda corta, y cómo podríamos ampliar su alcance en el futuro.</w:t>
      </w:r>
    </w:p>
    <w:p w14:paraId="42ADD0E9" w14:textId="21346040" w:rsidR="00653A6D" w:rsidRPr="00A34BDB" w:rsidRDefault="00653A6D" w:rsidP="00571D35">
      <w:pPr>
        <w:rPr>
          <w:lang w:val="es-CO"/>
        </w:rPr>
      </w:pPr>
    </w:p>
    <w:p w14:paraId="45A77E30" w14:textId="77777777" w:rsidR="00660474" w:rsidRPr="00A34BDB" w:rsidRDefault="00660474" w:rsidP="00571D35">
      <w:pPr>
        <w:rPr>
          <w:b/>
          <w:bCs/>
          <w:lang w:val="es-CO"/>
        </w:rPr>
      </w:pPr>
    </w:p>
    <w:p w14:paraId="715D3669" w14:textId="76F8ACEE" w:rsidR="00653A6D" w:rsidRPr="00A34BDB" w:rsidRDefault="007F14CF" w:rsidP="00571D35">
      <w:pPr>
        <w:rPr>
          <w:b/>
          <w:bCs/>
          <w:lang w:val="es-CO"/>
        </w:rPr>
      </w:pPr>
      <w:r w:rsidRPr="00A34BDB">
        <w:rPr>
          <w:b/>
          <w:bCs/>
          <w:lang w:val="es-CO"/>
        </w:rPr>
        <w:t>Política sobre portátiles y celulares</w:t>
      </w:r>
    </w:p>
    <w:p w14:paraId="4ABE9C81" w14:textId="77777777" w:rsidR="006F028B" w:rsidRPr="00A34BDB" w:rsidRDefault="006F028B" w:rsidP="00571D35">
      <w:pPr>
        <w:rPr>
          <w:b/>
          <w:bCs/>
          <w:lang w:val="es-CO"/>
        </w:rPr>
      </w:pPr>
    </w:p>
    <w:p w14:paraId="61F3CAB1" w14:textId="426C912C" w:rsidR="00D15D18" w:rsidRPr="00A34BDB" w:rsidRDefault="00F5378B" w:rsidP="00571D35">
      <w:pPr>
        <w:rPr>
          <w:lang w:val="es-CO"/>
        </w:rPr>
      </w:pPr>
      <w:r w:rsidRPr="00A34BDB">
        <w:rPr>
          <w:lang w:val="es-CO"/>
        </w:rPr>
        <w:t xml:space="preserve">Los portátiles sólo deben utilizarse para consultar las lecturas del curso, y los teléfonos móviles sólo deben utilizarse en caso de emergencia. Eso significa, por ejemplo, ¡no usar Whatsapp en el escritorio! Hay una literatura emergente que muestra que el uso de dispositivos electrónicos en el aula puede socavar el aprendizaje. </w:t>
      </w:r>
      <w:r w:rsidR="0067312D">
        <w:rPr>
          <w:lang w:val="es-CO"/>
        </w:rPr>
        <w:t xml:space="preserve">Favor de ser responsables con esto. </w:t>
      </w:r>
    </w:p>
    <w:p w14:paraId="3AFE8AE1" w14:textId="77777777" w:rsidR="00D15D18" w:rsidRPr="00A34BDB" w:rsidRDefault="00D15D18" w:rsidP="00571D35">
      <w:pPr>
        <w:rPr>
          <w:b/>
          <w:bCs/>
          <w:lang w:val="es-CO"/>
        </w:rPr>
      </w:pPr>
    </w:p>
    <w:p w14:paraId="7031F301" w14:textId="255663D7" w:rsidR="00F42B35" w:rsidRPr="00A34BDB" w:rsidRDefault="00D15D18" w:rsidP="00F42B35">
      <w:pPr>
        <w:rPr>
          <w:b/>
          <w:bCs/>
          <w:lang w:val="es-CO"/>
        </w:rPr>
      </w:pPr>
      <w:r w:rsidRPr="00A34BDB">
        <w:rPr>
          <w:b/>
          <w:bCs/>
          <w:lang w:val="es-CO"/>
        </w:rPr>
        <w:t xml:space="preserve">Ajustes razonables </w:t>
      </w:r>
    </w:p>
    <w:p w14:paraId="09EB5848" w14:textId="0C7FAE03" w:rsidR="006F028B" w:rsidRPr="00A34BDB" w:rsidRDefault="001A71D3" w:rsidP="00F42B35">
      <w:pPr>
        <w:rPr>
          <w:b/>
          <w:bCs/>
          <w:lang w:val="es-CO"/>
        </w:rPr>
      </w:pPr>
      <w:r>
        <w:rPr>
          <w:b/>
          <w:bCs/>
          <w:lang w:val="es-CO"/>
        </w:rPr>
        <w:tab/>
      </w:r>
    </w:p>
    <w:p w14:paraId="47446D7E" w14:textId="77777777" w:rsidR="00F42B35" w:rsidRPr="00A34BDB" w:rsidRDefault="00F42B35" w:rsidP="00F42B35">
      <w:pPr>
        <w:rPr>
          <w:lang w:val="es-CO"/>
        </w:rPr>
      </w:pPr>
      <w:r w:rsidRPr="00A34BDB">
        <w:rPr>
          <w:lang w:val="es-CO"/>
        </w:rPr>
        <w:t xml:space="preserve">Nuestras vidas se han vuelto cada vez más complicadas, y las dificultades en el hogar, en el trabajo o en cualquier otro lugar naturalmente afectan nuestra capacidad para alcanzar nuestro potencial en Los Andes. Si usted está pasando por un momento difícil, independientemente de la razón, no dude en hablar con nosotros para pedir tiempo adicional para las tareas, o para el acceso a la ayuda. Tampoco es necesario que nos den detalles sobre lo que está atravesando. No hay problema en ofrecerle un día extra para entregar el trabajo, por ejemplo, o la posibilidad de saltarse una clase por completo si cree </w:t>
      </w:r>
      <w:r w:rsidRPr="00A34BDB">
        <w:rPr>
          <w:lang w:val="es-CO"/>
        </w:rPr>
        <w:lastRenderedPageBreak/>
        <w:t>que hacerlo le ayudará a recuperarse y volver a nuestra clase restablecidx y listx para contribuir.</w:t>
      </w:r>
    </w:p>
    <w:p w14:paraId="272945A1" w14:textId="77777777" w:rsidR="00F42B35" w:rsidRPr="00A34BDB" w:rsidRDefault="00F42B35" w:rsidP="00F42B35">
      <w:pPr>
        <w:rPr>
          <w:lang w:val="es-CO"/>
        </w:rPr>
      </w:pPr>
    </w:p>
    <w:p w14:paraId="573A5F3E" w14:textId="3A54B01B" w:rsidR="00F42B35" w:rsidRPr="00A34BDB" w:rsidRDefault="00F42B35" w:rsidP="00F42B35">
      <w:pPr>
        <w:rPr>
          <w:lang w:val="es-CO"/>
        </w:rPr>
      </w:pPr>
      <w:r w:rsidRPr="00A34BDB">
        <w:rPr>
          <w:lang w:val="es-CO"/>
        </w:rPr>
        <w:t>Por favor, no venga a clase si se encuentra mal. La pandemia nos ha enseñado que la salud es una responsabilidad compartida: debemos quedarnos en casa si no nos encontramos bien, para evitar contagiar a lxs demás con la última variante del COVID.</w:t>
      </w:r>
    </w:p>
    <w:p w14:paraId="5DF4CA1B" w14:textId="66EF031C" w:rsidR="004D6AA3" w:rsidRDefault="004D6AA3" w:rsidP="00F42B35">
      <w:pPr>
        <w:rPr>
          <w:lang w:val="es-CO"/>
        </w:rPr>
      </w:pPr>
      <w:r>
        <w:rPr>
          <w:lang w:val="es-CO"/>
        </w:rPr>
        <w:br/>
      </w:r>
    </w:p>
    <w:p w14:paraId="7A573045" w14:textId="77777777" w:rsidR="004D6AA3" w:rsidRDefault="004D6AA3">
      <w:pPr>
        <w:spacing w:after="160" w:line="259" w:lineRule="auto"/>
        <w:rPr>
          <w:lang w:val="es-CO"/>
        </w:rPr>
      </w:pPr>
      <w:r>
        <w:rPr>
          <w:lang w:val="es-CO"/>
        </w:rPr>
        <w:br w:type="page"/>
      </w:r>
    </w:p>
    <w:p w14:paraId="4A923B05" w14:textId="77777777" w:rsidR="006C231D" w:rsidRPr="00A34BDB" w:rsidRDefault="006C231D" w:rsidP="00F42B35">
      <w:pPr>
        <w:rPr>
          <w:lang w:val="es-CO"/>
        </w:rPr>
      </w:pPr>
    </w:p>
    <w:p w14:paraId="2B4A270D" w14:textId="56C8D89D" w:rsidR="006C231D" w:rsidRPr="00A34BDB" w:rsidRDefault="006C231D" w:rsidP="00F42B35">
      <w:pPr>
        <w:rPr>
          <w:lang w:val="es-CO"/>
        </w:rPr>
      </w:pPr>
    </w:p>
    <w:p w14:paraId="722AF665" w14:textId="073AEFC8" w:rsidR="006C231D" w:rsidRPr="00A34BDB" w:rsidRDefault="006C231D" w:rsidP="006C231D">
      <w:pPr>
        <w:jc w:val="center"/>
        <w:rPr>
          <w:b/>
          <w:bCs/>
          <w:lang w:val="es-CO"/>
        </w:rPr>
      </w:pPr>
      <w:r w:rsidRPr="00A34BDB">
        <w:rPr>
          <w:b/>
          <w:bCs/>
          <w:lang w:val="es-CO"/>
        </w:rPr>
        <w:t>Cronograma de clases</w:t>
      </w:r>
    </w:p>
    <w:p w14:paraId="7B0D81D3" w14:textId="77777777" w:rsidR="004E53BB" w:rsidRPr="00A34BDB" w:rsidRDefault="004E53BB" w:rsidP="006C231D">
      <w:pPr>
        <w:jc w:val="center"/>
        <w:rPr>
          <w:b/>
          <w:bCs/>
          <w:lang w:val="es-CO"/>
        </w:rPr>
      </w:pPr>
    </w:p>
    <w:tbl>
      <w:tblPr>
        <w:tblStyle w:val="TableGrid"/>
        <w:tblW w:w="10916" w:type="dxa"/>
        <w:tblInd w:w="-998" w:type="dxa"/>
        <w:tblLook w:val="04A0" w:firstRow="1" w:lastRow="0" w:firstColumn="1" w:lastColumn="0" w:noHBand="0" w:noVBand="1"/>
      </w:tblPr>
      <w:tblGrid>
        <w:gridCol w:w="1986"/>
        <w:gridCol w:w="3543"/>
        <w:gridCol w:w="5387"/>
      </w:tblGrid>
      <w:tr w:rsidR="00334812" w:rsidRPr="00A34BDB" w14:paraId="75D1D9BA" w14:textId="77777777" w:rsidTr="004416D7">
        <w:tc>
          <w:tcPr>
            <w:tcW w:w="1986" w:type="dxa"/>
            <w:shd w:val="clear" w:color="auto" w:fill="9CC2E5" w:themeFill="accent5" w:themeFillTint="99"/>
          </w:tcPr>
          <w:p w14:paraId="755F2DCD" w14:textId="3D93E504" w:rsidR="00334812" w:rsidRPr="00A34BDB" w:rsidRDefault="00FA5B41" w:rsidP="002D4FFA">
            <w:pPr>
              <w:spacing w:line="276" w:lineRule="auto"/>
              <w:jc w:val="center"/>
              <w:rPr>
                <w:b/>
                <w:bCs/>
                <w:lang w:val="es-CO"/>
              </w:rPr>
            </w:pPr>
            <w:r w:rsidRPr="00A34BDB">
              <w:rPr>
                <w:b/>
                <w:bCs/>
                <w:lang w:val="es-CO"/>
              </w:rPr>
              <w:t>Semana/Fecha</w:t>
            </w:r>
          </w:p>
        </w:tc>
        <w:tc>
          <w:tcPr>
            <w:tcW w:w="3543" w:type="dxa"/>
            <w:shd w:val="clear" w:color="auto" w:fill="9CC2E5" w:themeFill="accent5" w:themeFillTint="99"/>
          </w:tcPr>
          <w:p w14:paraId="5F6CF81F" w14:textId="1905A75F" w:rsidR="00334812" w:rsidRPr="00A34BDB" w:rsidRDefault="00FA5B41" w:rsidP="002D4FFA">
            <w:pPr>
              <w:spacing w:line="276" w:lineRule="auto"/>
              <w:jc w:val="center"/>
              <w:rPr>
                <w:b/>
                <w:bCs/>
                <w:lang w:val="es-CO"/>
              </w:rPr>
            </w:pPr>
            <w:r w:rsidRPr="00A34BDB">
              <w:rPr>
                <w:b/>
                <w:bCs/>
                <w:lang w:val="es-CO"/>
              </w:rPr>
              <w:t>Temática</w:t>
            </w:r>
          </w:p>
        </w:tc>
        <w:tc>
          <w:tcPr>
            <w:tcW w:w="5387" w:type="dxa"/>
            <w:shd w:val="clear" w:color="auto" w:fill="9CC2E5" w:themeFill="accent5" w:themeFillTint="99"/>
          </w:tcPr>
          <w:p w14:paraId="7277B7C4" w14:textId="576342B1" w:rsidR="00334812" w:rsidRPr="00A34BDB" w:rsidRDefault="00FA5B41" w:rsidP="00881E74">
            <w:pPr>
              <w:spacing w:line="360" w:lineRule="auto"/>
              <w:jc w:val="center"/>
              <w:rPr>
                <w:b/>
                <w:bCs/>
                <w:lang w:val="es-CO"/>
              </w:rPr>
            </w:pPr>
            <w:r w:rsidRPr="00A34BDB">
              <w:rPr>
                <w:b/>
                <w:bCs/>
                <w:lang w:val="es-CO"/>
              </w:rPr>
              <w:t>Lecturas</w:t>
            </w:r>
          </w:p>
        </w:tc>
      </w:tr>
      <w:tr w:rsidR="009B427B" w:rsidRPr="00A34BDB" w14:paraId="3898A23E" w14:textId="77777777" w:rsidTr="0047706A">
        <w:tc>
          <w:tcPr>
            <w:tcW w:w="10916" w:type="dxa"/>
            <w:gridSpan w:val="3"/>
          </w:tcPr>
          <w:p w14:paraId="7D336AE4" w14:textId="62D6B8E8" w:rsidR="009B427B" w:rsidRPr="00A34BDB" w:rsidRDefault="00A76081" w:rsidP="00A53E61">
            <w:pPr>
              <w:pBdr>
                <w:top w:val="nil"/>
                <w:left w:val="nil"/>
                <w:bottom w:val="nil"/>
                <w:right w:val="nil"/>
                <w:between w:val="nil"/>
              </w:pBdr>
              <w:spacing w:line="360" w:lineRule="auto"/>
              <w:jc w:val="both"/>
              <w:rPr>
                <w:rFonts w:eastAsia="Times"/>
                <w:b/>
                <w:bCs/>
                <w:i/>
                <w:iCs/>
                <w:color w:val="000000"/>
                <w:lang w:val="es-CO"/>
              </w:rPr>
            </w:pPr>
            <w:r w:rsidRPr="00A34BDB">
              <w:rPr>
                <w:rFonts w:eastAsia="Times"/>
                <w:b/>
                <w:bCs/>
                <w:i/>
                <w:iCs/>
                <w:color w:val="000000"/>
                <w:lang w:val="es-CO"/>
              </w:rPr>
              <w:t xml:space="preserve">Marcos teóricos </w:t>
            </w:r>
            <w:r w:rsidR="00A53E61" w:rsidRPr="00A34BDB">
              <w:rPr>
                <w:rFonts w:eastAsia="Times"/>
                <w:b/>
                <w:bCs/>
                <w:i/>
                <w:iCs/>
                <w:color w:val="000000"/>
                <w:lang w:val="es-CO"/>
              </w:rPr>
              <w:t>y herramientas</w:t>
            </w:r>
          </w:p>
        </w:tc>
      </w:tr>
      <w:tr w:rsidR="00334812" w:rsidRPr="00A34BDB" w14:paraId="39BEED94" w14:textId="77777777" w:rsidTr="004416D7">
        <w:tc>
          <w:tcPr>
            <w:tcW w:w="1986" w:type="dxa"/>
          </w:tcPr>
          <w:p w14:paraId="2A98B807" w14:textId="77777777" w:rsidR="00334812" w:rsidRPr="00A34BDB" w:rsidRDefault="00677715" w:rsidP="006C231D">
            <w:pPr>
              <w:jc w:val="center"/>
              <w:rPr>
                <w:lang w:val="es-CO"/>
              </w:rPr>
            </w:pPr>
            <w:r w:rsidRPr="00A34BDB">
              <w:rPr>
                <w:lang w:val="es-CO"/>
              </w:rPr>
              <w:t>Semana 1</w:t>
            </w:r>
          </w:p>
          <w:p w14:paraId="0E9ABAC5" w14:textId="3999B66A" w:rsidR="00677715" w:rsidRPr="00A34BDB" w:rsidRDefault="00677715" w:rsidP="006C231D">
            <w:pPr>
              <w:jc w:val="center"/>
              <w:rPr>
                <w:lang w:val="es-CO"/>
              </w:rPr>
            </w:pPr>
            <w:r w:rsidRPr="00A34BDB">
              <w:rPr>
                <w:lang w:val="es-CO"/>
              </w:rPr>
              <w:t>(</w:t>
            </w:r>
            <w:r w:rsidR="00063CE0" w:rsidRPr="00A34BDB">
              <w:rPr>
                <w:lang w:val="es-CO"/>
              </w:rPr>
              <w:t>2</w:t>
            </w:r>
            <w:r w:rsidR="00973AE0" w:rsidRPr="00A34BDB">
              <w:rPr>
                <w:lang w:val="es-CO"/>
              </w:rPr>
              <w:t>5 de</w:t>
            </w:r>
            <w:r w:rsidR="008D35C4" w:rsidRPr="00A34BDB">
              <w:rPr>
                <w:lang w:val="es-CO"/>
              </w:rPr>
              <w:t xml:space="preserve"> e</w:t>
            </w:r>
            <w:r w:rsidR="00973AE0" w:rsidRPr="00A34BDB">
              <w:rPr>
                <w:lang w:val="es-CO"/>
              </w:rPr>
              <w:t>nero</w:t>
            </w:r>
            <w:r w:rsidRPr="00A34BDB">
              <w:rPr>
                <w:lang w:val="es-CO"/>
              </w:rPr>
              <w:t>)</w:t>
            </w:r>
          </w:p>
        </w:tc>
        <w:tc>
          <w:tcPr>
            <w:tcW w:w="3543" w:type="dxa"/>
          </w:tcPr>
          <w:p w14:paraId="544B2F47" w14:textId="77777777" w:rsidR="004416D7" w:rsidRPr="00A34BDB" w:rsidRDefault="004416D7" w:rsidP="00EC6EAE">
            <w:pPr>
              <w:jc w:val="center"/>
              <w:rPr>
                <w:lang w:val="es-CO"/>
              </w:rPr>
            </w:pPr>
          </w:p>
          <w:p w14:paraId="60FBD754" w14:textId="281C22CC" w:rsidR="00334812" w:rsidRPr="00A34BDB" w:rsidRDefault="004D15E0" w:rsidP="00EC6EAE">
            <w:pPr>
              <w:jc w:val="center"/>
              <w:rPr>
                <w:lang w:val="es-CO"/>
              </w:rPr>
            </w:pPr>
            <w:r w:rsidRPr="00A34BDB">
              <w:rPr>
                <w:lang w:val="es-CO"/>
              </w:rPr>
              <w:t>Introducción al curso</w:t>
            </w:r>
            <w:r w:rsidR="00F537F8" w:rsidRPr="00A34BDB">
              <w:rPr>
                <w:lang w:val="es-CO"/>
              </w:rPr>
              <w:t xml:space="preserve"> y </w:t>
            </w:r>
            <w:r w:rsidRPr="00A34BDB">
              <w:rPr>
                <w:lang w:val="es-CO"/>
              </w:rPr>
              <w:t>cost</w:t>
            </w:r>
            <w:r w:rsidR="00D43F9F">
              <w:rPr>
                <w:lang w:val="es-CO"/>
              </w:rPr>
              <w:t>o</w:t>
            </w:r>
            <w:r w:rsidRPr="00A34BDB">
              <w:rPr>
                <w:lang w:val="es-CO"/>
              </w:rPr>
              <w:t>s de</w:t>
            </w:r>
            <w:r w:rsidR="00F537F8" w:rsidRPr="00A34BDB">
              <w:rPr>
                <w:lang w:val="es-CO"/>
              </w:rPr>
              <w:t>l crimen</w:t>
            </w:r>
          </w:p>
        </w:tc>
        <w:tc>
          <w:tcPr>
            <w:tcW w:w="5387" w:type="dxa"/>
          </w:tcPr>
          <w:p w14:paraId="466F5EDA" w14:textId="77777777" w:rsidR="004E34D3" w:rsidRPr="00A34BDB" w:rsidRDefault="004E34D3" w:rsidP="004E34D3">
            <w:pPr>
              <w:pBdr>
                <w:top w:val="nil"/>
                <w:left w:val="nil"/>
                <w:bottom w:val="nil"/>
                <w:right w:val="nil"/>
                <w:between w:val="nil"/>
              </w:pBdr>
              <w:jc w:val="both"/>
              <w:rPr>
                <w:rFonts w:eastAsia="Times"/>
                <w:color w:val="000000"/>
              </w:rPr>
            </w:pPr>
            <w:r w:rsidRPr="00A34BDB">
              <w:rPr>
                <w:rFonts w:eastAsia="Times"/>
                <w:color w:val="000000"/>
              </w:rPr>
              <w:t xml:space="preserve">Mary Ann Bates and Rachel Glennerster. 2017. “The Generalizability Puzzle.” </w:t>
            </w:r>
            <w:r w:rsidRPr="00A34BDB">
              <w:rPr>
                <w:rFonts w:eastAsia="Times"/>
                <w:i/>
                <w:color w:val="000000"/>
              </w:rPr>
              <w:t>Stanford Social Innovation Review</w:t>
            </w:r>
            <w:r w:rsidRPr="00A34BDB">
              <w:rPr>
                <w:rFonts w:eastAsia="Times"/>
                <w:color w:val="000000"/>
              </w:rPr>
              <w:t xml:space="preserve">. </w:t>
            </w:r>
          </w:p>
          <w:p w14:paraId="3880A176" w14:textId="77777777" w:rsidR="00334812" w:rsidRPr="00A34BDB" w:rsidRDefault="00334812" w:rsidP="006C231D">
            <w:pPr>
              <w:jc w:val="center"/>
            </w:pPr>
          </w:p>
        </w:tc>
      </w:tr>
      <w:tr w:rsidR="00334812" w:rsidRPr="00A34BDB" w14:paraId="5367C585" w14:textId="77777777" w:rsidTr="004416D7">
        <w:tc>
          <w:tcPr>
            <w:tcW w:w="1986" w:type="dxa"/>
          </w:tcPr>
          <w:p w14:paraId="7A6C37A2" w14:textId="77777777" w:rsidR="00334812" w:rsidRPr="00A34BDB" w:rsidRDefault="00677715" w:rsidP="006C231D">
            <w:pPr>
              <w:jc w:val="center"/>
              <w:rPr>
                <w:lang w:val="es-CO"/>
              </w:rPr>
            </w:pPr>
            <w:r w:rsidRPr="00A34BDB">
              <w:rPr>
                <w:lang w:val="es-CO"/>
              </w:rPr>
              <w:t>Semana 2</w:t>
            </w:r>
          </w:p>
          <w:p w14:paraId="6CAD2C11" w14:textId="0512D8B6" w:rsidR="00677715" w:rsidRPr="00A34BDB" w:rsidRDefault="00677715" w:rsidP="006C231D">
            <w:pPr>
              <w:jc w:val="center"/>
              <w:rPr>
                <w:lang w:val="es-CO"/>
              </w:rPr>
            </w:pPr>
            <w:r w:rsidRPr="00A34BDB">
              <w:rPr>
                <w:lang w:val="es-CO"/>
              </w:rPr>
              <w:t>(</w:t>
            </w:r>
            <w:r w:rsidR="008D35C4" w:rsidRPr="00A34BDB">
              <w:rPr>
                <w:lang w:val="es-CO"/>
              </w:rPr>
              <w:t>1 de febrero</w:t>
            </w:r>
            <w:r w:rsidRPr="00A34BDB">
              <w:rPr>
                <w:lang w:val="es-CO"/>
              </w:rPr>
              <w:t>)</w:t>
            </w:r>
          </w:p>
        </w:tc>
        <w:tc>
          <w:tcPr>
            <w:tcW w:w="3543" w:type="dxa"/>
          </w:tcPr>
          <w:p w14:paraId="227F6E1B" w14:textId="77777777" w:rsidR="004416D7" w:rsidRPr="00A34BDB" w:rsidRDefault="004416D7" w:rsidP="006C231D">
            <w:pPr>
              <w:jc w:val="center"/>
              <w:rPr>
                <w:lang w:val="es-CO"/>
              </w:rPr>
            </w:pPr>
          </w:p>
          <w:p w14:paraId="2AA1EDFC" w14:textId="77777777" w:rsidR="004416D7" w:rsidRPr="00A34BDB" w:rsidRDefault="004416D7" w:rsidP="006C231D">
            <w:pPr>
              <w:jc w:val="center"/>
              <w:rPr>
                <w:lang w:val="es-CO"/>
              </w:rPr>
            </w:pPr>
          </w:p>
          <w:p w14:paraId="3449423E" w14:textId="77777777" w:rsidR="004416D7" w:rsidRPr="00A34BDB" w:rsidRDefault="004416D7" w:rsidP="006C231D">
            <w:pPr>
              <w:jc w:val="center"/>
              <w:rPr>
                <w:lang w:val="es-CO"/>
              </w:rPr>
            </w:pPr>
          </w:p>
          <w:p w14:paraId="4A807831" w14:textId="6361A6CF" w:rsidR="00334812" w:rsidRPr="00A34BDB" w:rsidRDefault="00EC6EAE" w:rsidP="006C231D">
            <w:pPr>
              <w:jc w:val="center"/>
              <w:rPr>
                <w:lang w:val="es-CO"/>
              </w:rPr>
            </w:pPr>
            <w:r w:rsidRPr="00A34BDB">
              <w:rPr>
                <w:lang w:val="es-CO"/>
              </w:rPr>
              <w:t>Inferencia causal</w:t>
            </w:r>
          </w:p>
        </w:tc>
        <w:tc>
          <w:tcPr>
            <w:tcW w:w="5387" w:type="dxa"/>
          </w:tcPr>
          <w:p w14:paraId="5482A18B" w14:textId="4483A867" w:rsidR="00060FC6" w:rsidRPr="00A34BDB" w:rsidRDefault="00060FC6" w:rsidP="00060FC6">
            <w:pPr>
              <w:rPr>
                <w:rFonts w:eastAsia="Times"/>
                <w:lang w:val="es-CO"/>
              </w:rPr>
            </w:pPr>
            <w:r w:rsidRPr="00A34BDB">
              <w:rPr>
                <w:rFonts w:eastAsia="Times"/>
              </w:rPr>
              <w:t xml:space="preserve">Paul J. Gertler, Sebastian Martinez, Patrick Premand, Laura B. Rawlings, and Christel M. J. Vermeersch. </w:t>
            </w:r>
            <w:r w:rsidRPr="00A34BDB">
              <w:rPr>
                <w:rFonts w:eastAsia="Times"/>
                <w:lang w:val="es-CO"/>
              </w:rPr>
              <w:t>2011. La evaluación de impacto en la práctica. Pages 35-139 (capítulos 3-6).</w:t>
            </w:r>
          </w:p>
          <w:p w14:paraId="5F7500F9" w14:textId="6220F5C0" w:rsidR="00060FC6" w:rsidRPr="00A34BDB" w:rsidRDefault="00EB42E6" w:rsidP="00EB42E6">
            <w:pPr>
              <w:pStyle w:val="ListParagraph"/>
              <w:numPr>
                <w:ilvl w:val="0"/>
                <w:numId w:val="5"/>
              </w:numPr>
              <w:pBdr>
                <w:top w:val="nil"/>
                <w:left w:val="nil"/>
                <w:bottom w:val="nil"/>
                <w:right w:val="nil"/>
                <w:between w:val="nil"/>
              </w:pBdr>
              <w:rPr>
                <w:rFonts w:eastAsia="Times"/>
                <w:color w:val="000000"/>
                <w:lang w:val="es-CO"/>
              </w:rPr>
            </w:pPr>
            <w:r w:rsidRPr="00A34BDB">
              <w:rPr>
                <w:rFonts w:eastAsia="Times"/>
                <w:i/>
                <w:color w:val="000000"/>
                <w:lang w:val="es-CO"/>
              </w:rPr>
              <w:t xml:space="preserve">Recomendado como referencia: </w:t>
            </w:r>
            <w:hyperlink r:id="rId10">
              <w:r w:rsidR="00060FC6" w:rsidRPr="00A34BDB">
                <w:rPr>
                  <w:rFonts w:eastAsia="Times"/>
                  <w:color w:val="1155CC"/>
                  <w:u w:val="single"/>
                  <w:lang w:val="es-CO"/>
                </w:rPr>
                <w:t>http://scunning.com/cunningham_mixtape.pdf</w:t>
              </w:r>
            </w:hyperlink>
          </w:p>
          <w:p w14:paraId="3D8FDEEB" w14:textId="77777777" w:rsidR="00334812" w:rsidRPr="00A34BDB" w:rsidRDefault="00334812" w:rsidP="006C231D">
            <w:pPr>
              <w:jc w:val="center"/>
              <w:rPr>
                <w:lang w:val="es-CO"/>
              </w:rPr>
            </w:pPr>
          </w:p>
        </w:tc>
      </w:tr>
      <w:tr w:rsidR="00334812" w:rsidRPr="00A34BDB" w14:paraId="76784B42" w14:textId="77777777" w:rsidTr="004416D7">
        <w:tc>
          <w:tcPr>
            <w:tcW w:w="1986" w:type="dxa"/>
          </w:tcPr>
          <w:p w14:paraId="110FD74F" w14:textId="77777777" w:rsidR="00334812" w:rsidRPr="00A34BDB" w:rsidRDefault="00677715" w:rsidP="006C231D">
            <w:pPr>
              <w:jc w:val="center"/>
              <w:rPr>
                <w:lang w:val="es-CO"/>
              </w:rPr>
            </w:pPr>
            <w:r w:rsidRPr="00A34BDB">
              <w:rPr>
                <w:lang w:val="es-CO"/>
              </w:rPr>
              <w:t>Semana 3</w:t>
            </w:r>
          </w:p>
          <w:p w14:paraId="4F116B96" w14:textId="0222720D" w:rsidR="00677715" w:rsidRPr="00A34BDB" w:rsidRDefault="00677715" w:rsidP="006C231D">
            <w:pPr>
              <w:jc w:val="center"/>
              <w:rPr>
                <w:lang w:val="es-CO"/>
              </w:rPr>
            </w:pPr>
            <w:r w:rsidRPr="00A34BDB">
              <w:rPr>
                <w:lang w:val="es-CO"/>
              </w:rPr>
              <w:t>(</w:t>
            </w:r>
            <w:r w:rsidR="008D35C4" w:rsidRPr="00A34BDB">
              <w:rPr>
                <w:lang w:val="es-CO"/>
              </w:rPr>
              <w:t>8 de febrero</w:t>
            </w:r>
            <w:r w:rsidRPr="00A34BDB">
              <w:rPr>
                <w:lang w:val="es-CO"/>
              </w:rPr>
              <w:t>)</w:t>
            </w:r>
          </w:p>
        </w:tc>
        <w:tc>
          <w:tcPr>
            <w:tcW w:w="3543" w:type="dxa"/>
          </w:tcPr>
          <w:p w14:paraId="2847B8C7" w14:textId="77777777" w:rsidR="004E1B6D" w:rsidRPr="00A34BDB" w:rsidRDefault="004E1B6D" w:rsidP="004E1B6D">
            <w:pPr>
              <w:rPr>
                <w:lang w:val="es-CO"/>
              </w:rPr>
            </w:pPr>
          </w:p>
          <w:p w14:paraId="6A594563" w14:textId="4B1CBB3C" w:rsidR="00334812" w:rsidRPr="00A34BDB" w:rsidRDefault="00CB328A" w:rsidP="004E1B6D">
            <w:pPr>
              <w:jc w:val="center"/>
              <w:rPr>
                <w:lang w:val="es-CO"/>
              </w:rPr>
            </w:pPr>
            <w:r w:rsidRPr="00A34BDB">
              <w:rPr>
                <w:lang w:val="es-CO"/>
              </w:rPr>
              <w:t xml:space="preserve">Modelo </w:t>
            </w:r>
            <w:r w:rsidR="00792012" w:rsidRPr="00A34BDB">
              <w:rPr>
                <w:lang w:val="es-CO"/>
              </w:rPr>
              <w:t>económico del crimen</w:t>
            </w:r>
          </w:p>
        </w:tc>
        <w:tc>
          <w:tcPr>
            <w:tcW w:w="5387" w:type="dxa"/>
          </w:tcPr>
          <w:p w14:paraId="7DC7D661" w14:textId="61740292" w:rsidR="00334812" w:rsidRPr="00A34BDB" w:rsidRDefault="007D2870" w:rsidP="00483A39">
            <w:pPr>
              <w:pBdr>
                <w:top w:val="nil"/>
                <w:left w:val="nil"/>
                <w:bottom w:val="nil"/>
                <w:right w:val="nil"/>
                <w:between w:val="nil"/>
              </w:pBdr>
              <w:jc w:val="both"/>
              <w:rPr>
                <w:rFonts w:eastAsia="Times"/>
                <w:color w:val="000000"/>
              </w:rPr>
            </w:pPr>
            <w:r w:rsidRPr="00A34BDB">
              <w:rPr>
                <w:rFonts w:eastAsia="Times"/>
                <w:color w:val="000000"/>
              </w:rPr>
              <w:t xml:space="preserve">John Donohue. 2007. “Economic Models of Crime and Punishment,” Social Research, Vol. 74: No. 2. Pages 379-412. </w:t>
            </w:r>
          </w:p>
        </w:tc>
      </w:tr>
      <w:tr w:rsidR="00015766" w:rsidRPr="00A34BDB" w14:paraId="70E1662F" w14:textId="77777777" w:rsidTr="00C0765F">
        <w:tc>
          <w:tcPr>
            <w:tcW w:w="10916" w:type="dxa"/>
            <w:gridSpan w:val="3"/>
          </w:tcPr>
          <w:p w14:paraId="7A24CD35" w14:textId="473EEF99" w:rsidR="00015766" w:rsidRPr="00A34BDB" w:rsidRDefault="00A7061E" w:rsidP="00BD6662">
            <w:pPr>
              <w:pStyle w:val="ListParagraph"/>
              <w:numPr>
                <w:ilvl w:val="0"/>
                <w:numId w:val="8"/>
              </w:numPr>
              <w:pBdr>
                <w:top w:val="nil"/>
                <w:left w:val="nil"/>
                <w:bottom w:val="nil"/>
                <w:right w:val="nil"/>
                <w:between w:val="nil"/>
              </w:pBdr>
              <w:spacing w:line="360" w:lineRule="auto"/>
              <w:rPr>
                <w:rFonts w:eastAsia="Times"/>
                <w:b/>
                <w:bCs/>
                <w:i/>
                <w:iCs/>
                <w:color w:val="000000"/>
              </w:rPr>
            </w:pPr>
            <w:r w:rsidRPr="00A34BDB">
              <w:rPr>
                <w:rFonts w:eastAsia="Times"/>
                <w:b/>
                <w:bCs/>
                <w:i/>
                <w:iCs/>
                <w:color w:val="000000"/>
              </w:rPr>
              <w:t>Intervenciones sociales y polici</w:t>
            </w:r>
            <w:r w:rsidR="009B427B" w:rsidRPr="00A34BDB">
              <w:rPr>
                <w:rFonts w:eastAsia="Times"/>
                <w:b/>
                <w:bCs/>
                <w:i/>
                <w:iCs/>
                <w:color w:val="000000"/>
              </w:rPr>
              <w:t>vas</w:t>
            </w:r>
          </w:p>
        </w:tc>
      </w:tr>
      <w:tr w:rsidR="00334812" w:rsidRPr="00A34BDB" w14:paraId="42D1EAF0" w14:textId="77777777" w:rsidTr="004416D7">
        <w:tc>
          <w:tcPr>
            <w:tcW w:w="1986" w:type="dxa"/>
          </w:tcPr>
          <w:p w14:paraId="128BBA48" w14:textId="77777777" w:rsidR="00334812" w:rsidRPr="00A34BDB" w:rsidRDefault="00677715" w:rsidP="006C231D">
            <w:pPr>
              <w:jc w:val="center"/>
              <w:rPr>
                <w:lang w:val="es-CO"/>
              </w:rPr>
            </w:pPr>
            <w:r w:rsidRPr="00A34BDB">
              <w:rPr>
                <w:lang w:val="es-CO"/>
              </w:rPr>
              <w:t>Semana 4</w:t>
            </w:r>
          </w:p>
          <w:p w14:paraId="7FEC2546" w14:textId="0B8B0D1F" w:rsidR="00677715" w:rsidRPr="00A34BDB" w:rsidRDefault="00677715" w:rsidP="00677715">
            <w:pPr>
              <w:jc w:val="center"/>
              <w:rPr>
                <w:lang w:val="es-CO"/>
              </w:rPr>
            </w:pPr>
            <w:r w:rsidRPr="00A34BDB">
              <w:rPr>
                <w:lang w:val="es-CO"/>
              </w:rPr>
              <w:t>(</w:t>
            </w:r>
            <w:r w:rsidR="008D35C4" w:rsidRPr="00A34BDB">
              <w:rPr>
                <w:lang w:val="es-CO"/>
              </w:rPr>
              <w:t>15 de febrero</w:t>
            </w:r>
            <w:r w:rsidRPr="00A34BDB">
              <w:rPr>
                <w:lang w:val="es-CO"/>
              </w:rPr>
              <w:t>)</w:t>
            </w:r>
          </w:p>
        </w:tc>
        <w:tc>
          <w:tcPr>
            <w:tcW w:w="3543" w:type="dxa"/>
          </w:tcPr>
          <w:p w14:paraId="3F788994" w14:textId="77777777" w:rsidR="00A57BD9" w:rsidRPr="00A34BDB" w:rsidRDefault="00A57BD9" w:rsidP="001509F6">
            <w:pPr>
              <w:jc w:val="center"/>
              <w:rPr>
                <w:rFonts w:eastAsia="Times"/>
                <w:lang w:val="es-CO"/>
              </w:rPr>
            </w:pPr>
          </w:p>
          <w:p w14:paraId="32D5B1CF" w14:textId="77777777" w:rsidR="00A57BD9" w:rsidRPr="00A34BDB" w:rsidRDefault="00A57BD9" w:rsidP="001509F6">
            <w:pPr>
              <w:jc w:val="center"/>
              <w:rPr>
                <w:rFonts w:eastAsia="Times"/>
                <w:lang w:val="es-CO"/>
              </w:rPr>
            </w:pPr>
          </w:p>
          <w:p w14:paraId="3A6D8338" w14:textId="77777777" w:rsidR="00A57BD9" w:rsidRPr="00A34BDB" w:rsidRDefault="00A57BD9" w:rsidP="001509F6">
            <w:pPr>
              <w:jc w:val="center"/>
              <w:rPr>
                <w:rFonts w:eastAsia="Times"/>
                <w:lang w:val="es-CO"/>
              </w:rPr>
            </w:pPr>
          </w:p>
          <w:p w14:paraId="0D73579D" w14:textId="77777777" w:rsidR="00A57BD9" w:rsidRPr="00A34BDB" w:rsidRDefault="00A57BD9" w:rsidP="001509F6">
            <w:pPr>
              <w:jc w:val="center"/>
              <w:rPr>
                <w:rFonts w:eastAsia="Times"/>
                <w:lang w:val="es-CO"/>
              </w:rPr>
            </w:pPr>
          </w:p>
          <w:p w14:paraId="7A6774F6" w14:textId="77777777" w:rsidR="00A57BD9" w:rsidRPr="00A34BDB" w:rsidRDefault="00A57BD9" w:rsidP="001509F6">
            <w:pPr>
              <w:jc w:val="center"/>
              <w:rPr>
                <w:rFonts w:eastAsia="Times"/>
                <w:lang w:val="es-CO"/>
              </w:rPr>
            </w:pPr>
          </w:p>
          <w:p w14:paraId="6AE0904D" w14:textId="77777777" w:rsidR="00A57BD9" w:rsidRPr="00A34BDB" w:rsidRDefault="00A57BD9" w:rsidP="001509F6">
            <w:pPr>
              <w:jc w:val="center"/>
              <w:rPr>
                <w:rFonts w:eastAsia="Times"/>
                <w:lang w:val="es-CO"/>
              </w:rPr>
            </w:pPr>
          </w:p>
          <w:p w14:paraId="39D05C7A" w14:textId="526B9646" w:rsidR="00A57BD9" w:rsidRPr="00A34BDB" w:rsidRDefault="00A57BD9" w:rsidP="001509F6">
            <w:pPr>
              <w:jc w:val="center"/>
              <w:rPr>
                <w:rFonts w:eastAsia="Times"/>
                <w:lang w:val="es-CO"/>
              </w:rPr>
            </w:pPr>
          </w:p>
          <w:p w14:paraId="0470EB9A" w14:textId="7B0B2332" w:rsidR="00A75189" w:rsidRPr="00A34BDB" w:rsidRDefault="00A75189" w:rsidP="001509F6">
            <w:pPr>
              <w:jc w:val="center"/>
              <w:rPr>
                <w:rFonts w:eastAsia="Times"/>
                <w:lang w:val="es-CO"/>
              </w:rPr>
            </w:pPr>
          </w:p>
          <w:p w14:paraId="75523477" w14:textId="6DB3AA72" w:rsidR="00A75189" w:rsidRPr="00A34BDB" w:rsidRDefault="00A75189" w:rsidP="001509F6">
            <w:pPr>
              <w:jc w:val="center"/>
              <w:rPr>
                <w:rFonts w:eastAsia="Times"/>
                <w:lang w:val="es-CO"/>
              </w:rPr>
            </w:pPr>
          </w:p>
          <w:p w14:paraId="209EC2F0" w14:textId="77777777" w:rsidR="00A75189" w:rsidRPr="00A34BDB" w:rsidRDefault="00A75189" w:rsidP="001509F6">
            <w:pPr>
              <w:jc w:val="center"/>
              <w:rPr>
                <w:rFonts w:eastAsia="Times"/>
                <w:lang w:val="es-CO"/>
              </w:rPr>
            </w:pPr>
          </w:p>
          <w:p w14:paraId="716E2701" w14:textId="77777777" w:rsidR="00A57BD9" w:rsidRPr="00A34BDB" w:rsidRDefault="00A57BD9" w:rsidP="001509F6">
            <w:pPr>
              <w:jc w:val="center"/>
              <w:rPr>
                <w:rFonts w:eastAsia="Times"/>
                <w:lang w:val="es-CO"/>
              </w:rPr>
            </w:pPr>
          </w:p>
          <w:p w14:paraId="5A34831E" w14:textId="77777777" w:rsidR="00A57BD9" w:rsidRPr="00A34BDB" w:rsidRDefault="00A57BD9" w:rsidP="001509F6">
            <w:pPr>
              <w:jc w:val="center"/>
              <w:rPr>
                <w:rFonts w:eastAsia="Times"/>
                <w:lang w:val="es-CO"/>
              </w:rPr>
            </w:pPr>
          </w:p>
          <w:p w14:paraId="04804736" w14:textId="7240C42E" w:rsidR="001509F6" w:rsidRPr="00A34BDB" w:rsidRDefault="001509F6" w:rsidP="001509F6">
            <w:pPr>
              <w:jc w:val="center"/>
              <w:rPr>
                <w:rFonts w:eastAsia="Times"/>
                <w:lang w:val="es-CO"/>
              </w:rPr>
            </w:pPr>
            <w:r w:rsidRPr="00A34BDB">
              <w:rPr>
                <w:rFonts w:eastAsia="Times"/>
                <w:lang w:val="es-CO"/>
              </w:rPr>
              <w:t>Mejorando el ambiente social</w:t>
            </w:r>
            <w:r w:rsidR="00B07436" w:rsidRPr="00A34BDB">
              <w:rPr>
                <w:rFonts w:eastAsia="Times"/>
                <w:lang w:val="es-CO"/>
              </w:rPr>
              <w:t xml:space="preserve">: </w:t>
            </w:r>
            <w:r w:rsidRPr="00A34BDB">
              <w:rPr>
                <w:rFonts w:eastAsia="Times"/>
                <w:lang w:val="es-CO"/>
              </w:rPr>
              <w:t>colegios, luces, calles limpias, toques de queda</w:t>
            </w:r>
          </w:p>
          <w:p w14:paraId="1A00D19A" w14:textId="77777777" w:rsidR="00824C1C" w:rsidRPr="00A34BDB" w:rsidRDefault="00824C1C" w:rsidP="001509F6">
            <w:pPr>
              <w:jc w:val="center"/>
              <w:rPr>
                <w:rFonts w:eastAsia="Times"/>
                <w:lang w:val="es-CO"/>
              </w:rPr>
            </w:pPr>
          </w:p>
          <w:p w14:paraId="215EE9D7" w14:textId="77777777" w:rsidR="00334812" w:rsidRPr="00A34BDB" w:rsidRDefault="00334812" w:rsidP="002B5355">
            <w:pPr>
              <w:jc w:val="center"/>
              <w:rPr>
                <w:lang w:val="es-CO"/>
              </w:rPr>
            </w:pPr>
          </w:p>
        </w:tc>
        <w:tc>
          <w:tcPr>
            <w:tcW w:w="5387" w:type="dxa"/>
          </w:tcPr>
          <w:p w14:paraId="0E886F93" w14:textId="3123BF49" w:rsidR="00BB4529" w:rsidRPr="00A34BDB" w:rsidRDefault="00BB4529" w:rsidP="00BB4529">
            <w:pPr>
              <w:jc w:val="both"/>
              <w:rPr>
                <w:rFonts w:eastAsia="Times"/>
              </w:rPr>
            </w:pPr>
            <w:r w:rsidRPr="00A34BDB">
              <w:rPr>
                <w:rFonts w:eastAsia="Times"/>
              </w:rPr>
              <w:t xml:space="preserve">Kling, Jeffrey R., Jens Ludwig, and Lawrence F. Katz. 2005. “Neighborhood Effects on Crime for Female and Male Youth: Evidence from a Randomized Housing Voucher Experiment.” </w:t>
            </w:r>
            <w:r w:rsidRPr="00A34BDB">
              <w:rPr>
                <w:rFonts w:eastAsia="Times"/>
                <w:i/>
              </w:rPr>
              <w:t>Quarterly Journal of Economics</w:t>
            </w:r>
            <w:r w:rsidRPr="00A34BDB">
              <w:rPr>
                <w:rFonts w:eastAsia="Times"/>
              </w:rPr>
              <w:t xml:space="preserve"> 120(1): 87-130.</w:t>
            </w:r>
          </w:p>
          <w:p w14:paraId="232D1440" w14:textId="77777777" w:rsidR="00BB4529" w:rsidRPr="00A34BDB" w:rsidRDefault="00BB4529" w:rsidP="00BB4529">
            <w:pPr>
              <w:ind w:left="720"/>
              <w:jc w:val="both"/>
              <w:rPr>
                <w:rFonts w:eastAsia="Times"/>
              </w:rPr>
            </w:pPr>
          </w:p>
          <w:p w14:paraId="2B16A7C9" w14:textId="77777777" w:rsidR="00A57BD9" w:rsidRPr="00A34BDB" w:rsidRDefault="00A57BD9" w:rsidP="00A57BD9">
            <w:pPr>
              <w:jc w:val="both"/>
              <w:rPr>
                <w:rFonts w:eastAsia="Times"/>
                <w:lang w:val="es-CO"/>
              </w:rPr>
            </w:pPr>
          </w:p>
          <w:p w14:paraId="3BCE0CA2" w14:textId="3AB2F417" w:rsidR="00A57BD9" w:rsidRDefault="00A57BD9" w:rsidP="00A57BD9">
            <w:pPr>
              <w:jc w:val="both"/>
              <w:rPr>
                <w:rFonts w:eastAsia="Times"/>
              </w:rPr>
            </w:pPr>
            <w:r w:rsidRPr="00A34BDB">
              <w:rPr>
                <w:rFonts w:eastAsia="Times"/>
              </w:rPr>
              <w:t xml:space="preserve">Doleac, Jennifer L. and Nicholas J. Sanders. 2015. “Under the Cover of Darkness: How Ambient Light Influences Criminal Activity.” </w:t>
            </w:r>
            <w:r w:rsidRPr="00A34BDB">
              <w:rPr>
                <w:rFonts w:eastAsia="Times"/>
                <w:i/>
              </w:rPr>
              <w:t>Review of Economics and Statistics</w:t>
            </w:r>
            <w:r w:rsidRPr="00A34BDB">
              <w:rPr>
                <w:rFonts w:eastAsia="Times"/>
              </w:rPr>
              <w:t>.</w:t>
            </w:r>
          </w:p>
          <w:p w14:paraId="7E4ADB36" w14:textId="18C8A40D" w:rsidR="003F03DC" w:rsidRDefault="003F03DC" w:rsidP="00A57BD9">
            <w:pPr>
              <w:jc w:val="both"/>
              <w:rPr>
                <w:rFonts w:eastAsia="Times"/>
              </w:rPr>
            </w:pPr>
          </w:p>
          <w:p w14:paraId="644A3CE5" w14:textId="747F4F0D" w:rsidR="003F03DC" w:rsidRDefault="003F03DC" w:rsidP="00A57BD9">
            <w:pPr>
              <w:jc w:val="both"/>
              <w:rPr>
                <w:rFonts w:eastAsia="Times"/>
              </w:rPr>
            </w:pPr>
            <w:r>
              <w:rPr>
                <w:rFonts w:eastAsia="Times"/>
              </w:rPr>
              <w:t xml:space="preserve">Recomendado: </w:t>
            </w:r>
          </w:p>
          <w:p w14:paraId="6A7F3021" w14:textId="5BA570B4" w:rsidR="003F03DC" w:rsidRPr="003F03DC" w:rsidRDefault="003F03DC" w:rsidP="003F03DC">
            <w:pPr>
              <w:pStyle w:val="ListParagraph"/>
              <w:numPr>
                <w:ilvl w:val="0"/>
                <w:numId w:val="5"/>
              </w:numPr>
              <w:jc w:val="both"/>
              <w:rPr>
                <w:rFonts w:eastAsia="Times"/>
              </w:rPr>
            </w:pPr>
            <w:r w:rsidRPr="003F03DC">
              <w:rPr>
                <w:rFonts w:eastAsia="Times"/>
              </w:rPr>
              <w:t xml:space="preserve">Deming, David. 2011. “Better Schools, Less Crime?” </w:t>
            </w:r>
            <w:r w:rsidRPr="003F03DC">
              <w:rPr>
                <w:rFonts w:eastAsia="Times"/>
                <w:i/>
              </w:rPr>
              <w:t>Quarterly Journal of Economics</w:t>
            </w:r>
            <w:r w:rsidRPr="003F03DC">
              <w:rPr>
                <w:rFonts w:eastAsia="Times"/>
              </w:rPr>
              <w:t xml:space="preserve"> 126(4), 2063-2115.</w:t>
            </w:r>
          </w:p>
          <w:p w14:paraId="1D78E952" w14:textId="77777777" w:rsidR="003F03DC" w:rsidRDefault="00A57BD9" w:rsidP="00A57BD9">
            <w:pPr>
              <w:pStyle w:val="ListParagraph"/>
              <w:numPr>
                <w:ilvl w:val="0"/>
                <w:numId w:val="5"/>
              </w:numPr>
              <w:jc w:val="both"/>
              <w:rPr>
                <w:rFonts w:eastAsia="Times"/>
              </w:rPr>
            </w:pPr>
            <w:r w:rsidRPr="003F03DC">
              <w:rPr>
                <w:rFonts w:eastAsia="Times"/>
              </w:rPr>
              <w:t>Chalfin, Aaron, Benjamin Hansen, Jason Lerner, and Lucie Parker. 2019. "Reducing Crime Through Environmental Design: Evidence from a Randomized Experiment of Street Lighting in New York City." Working paper.</w:t>
            </w:r>
          </w:p>
          <w:p w14:paraId="017C730E" w14:textId="590E87B4" w:rsidR="00334812" w:rsidRPr="003F03DC" w:rsidRDefault="00A57BD9" w:rsidP="00A57BD9">
            <w:pPr>
              <w:pStyle w:val="ListParagraph"/>
              <w:numPr>
                <w:ilvl w:val="0"/>
                <w:numId w:val="5"/>
              </w:numPr>
              <w:jc w:val="both"/>
              <w:rPr>
                <w:rFonts w:eastAsia="Times"/>
              </w:rPr>
            </w:pPr>
            <w:r w:rsidRPr="003F03DC">
              <w:rPr>
                <w:rFonts w:eastAsia="Times"/>
              </w:rPr>
              <w:t xml:space="preserve">Carr, Jillian B. and Jennifer L. Doleac. 2017. “Keep the Kids Inside? Juvenile </w:t>
            </w:r>
            <w:r w:rsidRPr="003F03DC">
              <w:rPr>
                <w:rFonts w:eastAsia="Times"/>
              </w:rPr>
              <w:lastRenderedPageBreak/>
              <w:t xml:space="preserve">Curfews and Urban Gun Violence.” </w:t>
            </w:r>
            <w:r w:rsidRPr="003F03DC">
              <w:rPr>
                <w:rFonts w:eastAsia="Times"/>
                <w:i/>
              </w:rPr>
              <w:t>Review of Economics and Statistics</w:t>
            </w:r>
            <w:r w:rsidRPr="003F03DC">
              <w:rPr>
                <w:rFonts w:eastAsia="Times"/>
              </w:rPr>
              <w:t xml:space="preserve"> 100(4): 609-618.</w:t>
            </w:r>
          </w:p>
          <w:p w14:paraId="513D96E0" w14:textId="7959B4DD" w:rsidR="00D030C4" w:rsidRPr="00A34BDB" w:rsidRDefault="00D030C4" w:rsidP="00A57BD9">
            <w:pPr>
              <w:jc w:val="both"/>
              <w:rPr>
                <w:rFonts w:eastAsia="Times"/>
              </w:rPr>
            </w:pPr>
          </w:p>
        </w:tc>
      </w:tr>
      <w:tr w:rsidR="00334812" w:rsidRPr="00A34BDB" w14:paraId="255C2F17" w14:textId="77777777" w:rsidTr="004416D7">
        <w:tc>
          <w:tcPr>
            <w:tcW w:w="1986" w:type="dxa"/>
          </w:tcPr>
          <w:p w14:paraId="7D7BFB99" w14:textId="77777777" w:rsidR="00334812" w:rsidRPr="00A34BDB" w:rsidRDefault="00677715" w:rsidP="006C231D">
            <w:pPr>
              <w:jc w:val="center"/>
              <w:rPr>
                <w:lang w:val="es-CO"/>
              </w:rPr>
            </w:pPr>
            <w:r w:rsidRPr="00A34BDB">
              <w:rPr>
                <w:lang w:val="es-CO"/>
              </w:rPr>
              <w:lastRenderedPageBreak/>
              <w:t>Semana 5</w:t>
            </w:r>
          </w:p>
          <w:p w14:paraId="0A2ED1AE" w14:textId="149B7B5C" w:rsidR="00677715" w:rsidRPr="00A34BDB" w:rsidRDefault="00677715" w:rsidP="006C231D">
            <w:pPr>
              <w:jc w:val="center"/>
              <w:rPr>
                <w:lang w:val="es-CO"/>
              </w:rPr>
            </w:pPr>
            <w:r w:rsidRPr="00A34BDB">
              <w:rPr>
                <w:lang w:val="es-CO"/>
              </w:rPr>
              <w:t>(</w:t>
            </w:r>
            <w:r w:rsidR="008D35C4" w:rsidRPr="00A34BDB">
              <w:rPr>
                <w:lang w:val="es-CO"/>
              </w:rPr>
              <w:t>22 de febrero</w:t>
            </w:r>
            <w:r w:rsidRPr="00A34BDB">
              <w:rPr>
                <w:lang w:val="es-CO"/>
              </w:rPr>
              <w:t>)</w:t>
            </w:r>
          </w:p>
        </w:tc>
        <w:tc>
          <w:tcPr>
            <w:tcW w:w="3543" w:type="dxa"/>
          </w:tcPr>
          <w:p w14:paraId="19716891" w14:textId="77777777" w:rsidR="00BD6662" w:rsidRPr="00A34BDB" w:rsidRDefault="00BD6662" w:rsidP="006C231D">
            <w:pPr>
              <w:jc w:val="center"/>
              <w:rPr>
                <w:lang w:val="es-CO"/>
              </w:rPr>
            </w:pPr>
          </w:p>
          <w:p w14:paraId="61EE82FB" w14:textId="77777777" w:rsidR="00BD6662" w:rsidRPr="00A34BDB" w:rsidRDefault="00BD6662" w:rsidP="006C231D">
            <w:pPr>
              <w:jc w:val="center"/>
              <w:rPr>
                <w:lang w:val="es-CO"/>
              </w:rPr>
            </w:pPr>
          </w:p>
          <w:p w14:paraId="74700C26" w14:textId="77777777" w:rsidR="00BD6662" w:rsidRPr="00A34BDB" w:rsidRDefault="00BD6662" w:rsidP="006C231D">
            <w:pPr>
              <w:jc w:val="center"/>
              <w:rPr>
                <w:lang w:val="es-CO"/>
              </w:rPr>
            </w:pPr>
          </w:p>
          <w:p w14:paraId="4D0E3772" w14:textId="77777777" w:rsidR="00BD6662" w:rsidRPr="00A34BDB" w:rsidRDefault="00BD6662" w:rsidP="006C231D">
            <w:pPr>
              <w:jc w:val="center"/>
              <w:rPr>
                <w:lang w:val="es-CO"/>
              </w:rPr>
            </w:pPr>
          </w:p>
          <w:p w14:paraId="6EC72AB0" w14:textId="77777777" w:rsidR="00BD6662" w:rsidRPr="00A34BDB" w:rsidRDefault="00BD6662" w:rsidP="006C231D">
            <w:pPr>
              <w:jc w:val="center"/>
              <w:rPr>
                <w:lang w:val="es-CO"/>
              </w:rPr>
            </w:pPr>
          </w:p>
          <w:p w14:paraId="28309136" w14:textId="77777777" w:rsidR="00BD6662" w:rsidRPr="00A34BDB" w:rsidRDefault="00BD6662" w:rsidP="006C231D">
            <w:pPr>
              <w:jc w:val="center"/>
              <w:rPr>
                <w:lang w:val="es-CO"/>
              </w:rPr>
            </w:pPr>
          </w:p>
          <w:p w14:paraId="2566E369" w14:textId="77777777" w:rsidR="00BD6662" w:rsidRPr="00A34BDB" w:rsidRDefault="00BD6662" w:rsidP="006C231D">
            <w:pPr>
              <w:jc w:val="center"/>
              <w:rPr>
                <w:lang w:val="es-CO"/>
              </w:rPr>
            </w:pPr>
          </w:p>
          <w:p w14:paraId="6131E6D0" w14:textId="77777777" w:rsidR="00BD6662" w:rsidRPr="00A34BDB" w:rsidRDefault="00BD6662" w:rsidP="006C231D">
            <w:pPr>
              <w:jc w:val="center"/>
              <w:rPr>
                <w:lang w:val="es-CO"/>
              </w:rPr>
            </w:pPr>
          </w:p>
          <w:p w14:paraId="492BEA88" w14:textId="77777777" w:rsidR="00BD6662" w:rsidRPr="00A34BDB" w:rsidRDefault="00BD6662" w:rsidP="006C231D">
            <w:pPr>
              <w:jc w:val="center"/>
              <w:rPr>
                <w:lang w:val="es-CO"/>
              </w:rPr>
            </w:pPr>
          </w:p>
          <w:p w14:paraId="65A4014E" w14:textId="5E1DF317" w:rsidR="00334812" w:rsidRPr="00A34BDB" w:rsidRDefault="0069057E" w:rsidP="006C231D">
            <w:pPr>
              <w:jc w:val="center"/>
              <w:rPr>
                <w:rFonts w:eastAsia="Times"/>
                <w:lang w:val="es-CO"/>
              </w:rPr>
            </w:pPr>
            <w:r w:rsidRPr="00A34BDB">
              <w:rPr>
                <w:lang w:val="es-CO"/>
              </w:rPr>
              <w:t>Acciones policivas</w:t>
            </w:r>
            <w:r w:rsidR="00B07436" w:rsidRPr="00A34BDB">
              <w:rPr>
                <w:lang w:val="es-CO"/>
              </w:rPr>
              <w:t xml:space="preserve">: </w:t>
            </w:r>
            <w:r w:rsidR="00871871" w:rsidRPr="00A34BDB">
              <w:rPr>
                <w:rFonts w:eastAsia="Times"/>
                <w:lang w:val="es-CO"/>
              </w:rPr>
              <w:t>hotspots, community policing</w:t>
            </w:r>
          </w:p>
          <w:p w14:paraId="3E039F55" w14:textId="77777777" w:rsidR="00B8522B" w:rsidRPr="00A34BDB" w:rsidRDefault="00B8522B" w:rsidP="006C231D">
            <w:pPr>
              <w:jc w:val="center"/>
              <w:rPr>
                <w:rFonts w:eastAsia="Times"/>
                <w:lang w:val="es-CO"/>
              </w:rPr>
            </w:pPr>
          </w:p>
          <w:p w14:paraId="412EC78B" w14:textId="26B69A3B" w:rsidR="00A75189" w:rsidRPr="001D0963" w:rsidRDefault="00A75189" w:rsidP="00544947">
            <w:pPr>
              <w:jc w:val="center"/>
              <w:rPr>
                <w:i/>
                <w:iCs/>
                <w:lang w:val="es-CO"/>
              </w:rPr>
            </w:pPr>
          </w:p>
        </w:tc>
        <w:tc>
          <w:tcPr>
            <w:tcW w:w="5387" w:type="dxa"/>
          </w:tcPr>
          <w:p w14:paraId="4A2EDC38" w14:textId="02C31C1A" w:rsidR="00106A57" w:rsidRPr="00A34BDB" w:rsidRDefault="00106A57" w:rsidP="00106A57">
            <w:pPr>
              <w:pBdr>
                <w:top w:val="nil"/>
                <w:left w:val="nil"/>
                <w:bottom w:val="nil"/>
                <w:right w:val="nil"/>
                <w:between w:val="nil"/>
              </w:pBdr>
              <w:jc w:val="both"/>
              <w:rPr>
                <w:rFonts w:eastAsia="Times"/>
                <w:color w:val="000000"/>
                <w:lang w:val="es-CO"/>
              </w:rPr>
            </w:pPr>
          </w:p>
          <w:p w14:paraId="7C9869B8" w14:textId="77777777" w:rsidR="00E509F7" w:rsidRPr="00A34BDB" w:rsidRDefault="00E509F7" w:rsidP="00E509F7">
            <w:pPr>
              <w:jc w:val="both"/>
              <w:rPr>
                <w:rFonts w:eastAsia="Times"/>
              </w:rPr>
            </w:pPr>
            <w:r w:rsidRPr="00A34BDB">
              <w:rPr>
                <w:rFonts w:eastAsia="Times"/>
              </w:rPr>
              <w:t xml:space="preserve">Di Tella, Rafael and Ernesto Schargrodsky. 2004. “Do Police Reduce Crime? Estimates Using the Allocation of Police Forces After a Terrorist Attack.” </w:t>
            </w:r>
            <w:r w:rsidRPr="00A34BDB">
              <w:rPr>
                <w:rFonts w:eastAsia="Times"/>
                <w:i/>
              </w:rPr>
              <w:t>American Economic Review</w:t>
            </w:r>
            <w:r w:rsidRPr="00A34BDB">
              <w:rPr>
                <w:rFonts w:eastAsia="Times"/>
              </w:rPr>
              <w:t>, 94(1): 115-133.</w:t>
            </w:r>
          </w:p>
          <w:p w14:paraId="7E1CA95B" w14:textId="77777777" w:rsidR="00E509F7" w:rsidRPr="00A34BDB" w:rsidRDefault="00E509F7" w:rsidP="00E509F7">
            <w:pPr>
              <w:ind w:left="720"/>
              <w:jc w:val="both"/>
              <w:rPr>
                <w:rFonts w:eastAsia="Times"/>
              </w:rPr>
            </w:pPr>
          </w:p>
          <w:p w14:paraId="2C9A0F75" w14:textId="62A72CA9" w:rsidR="00E509F7" w:rsidRPr="00A34BDB" w:rsidRDefault="00E509F7" w:rsidP="00E509F7">
            <w:pPr>
              <w:rPr>
                <w:rFonts w:eastAsia="Times"/>
                <w:color w:val="111111"/>
              </w:rPr>
            </w:pPr>
            <w:r w:rsidRPr="00A34BDB">
              <w:rPr>
                <w:rFonts w:eastAsia="Times"/>
                <w:color w:val="111111"/>
              </w:rPr>
              <w:t xml:space="preserve">Blattman, Christopher, Donald Green, Daniel Ortega, Santiago Tobón. 2021. “Place-based interventions at scale: The direct and spillover effects of policing and city services on crime." </w:t>
            </w:r>
            <w:r w:rsidRPr="00A34BDB">
              <w:rPr>
                <w:rFonts w:eastAsia="Times"/>
                <w:i/>
                <w:color w:val="111111"/>
              </w:rPr>
              <w:t>Journal of the European Economic Association</w:t>
            </w:r>
            <w:r w:rsidRPr="00A34BDB">
              <w:rPr>
                <w:rFonts w:eastAsia="Times"/>
                <w:color w:val="111111"/>
              </w:rPr>
              <w:t xml:space="preserve">. </w:t>
            </w:r>
          </w:p>
          <w:p w14:paraId="7B361698" w14:textId="650DB0AA" w:rsidR="008C17F5" w:rsidRDefault="008C17F5" w:rsidP="008C17F5">
            <w:pPr>
              <w:rPr>
                <w:rFonts w:eastAsia="Times"/>
                <w:color w:val="111111"/>
              </w:rPr>
            </w:pPr>
          </w:p>
          <w:p w14:paraId="6DCE76B2" w14:textId="77777777" w:rsidR="008C17F5" w:rsidRPr="00A34BDB" w:rsidRDefault="008C17F5" w:rsidP="008C17F5">
            <w:pPr>
              <w:pBdr>
                <w:top w:val="nil"/>
                <w:left w:val="nil"/>
                <w:bottom w:val="nil"/>
                <w:right w:val="nil"/>
                <w:between w:val="nil"/>
              </w:pBdr>
              <w:jc w:val="both"/>
              <w:rPr>
                <w:rFonts w:eastAsia="Times"/>
                <w:color w:val="000000"/>
              </w:rPr>
            </w:pPr>
            <w:r w:rsidRPr="00A34BDB">
              <w:rPr>
                <w:rFonts w:eastAsia="Times"/>
                <w:color w:val="000000"/>
              </w:rPr>
              <w:t>Blair, Graeme et al. 2021. “Community Policing Does Not Build Citizen Trust in Police or Reduce Crime in the Global South”. </w:t>
            </w:r>
            <w:r w:rsidRPr="00A34BDB">
              <w:rPr>
                <w:rFonts w:eastAsia="Times"/>
                <w:i/>
                <w:color w:val="000000"/>
              </w:rPr>
              <w:t>Science</w:t>
            </w:r>
            <w:r w:rsidRPr="00A34BDB">
              <w:rPr>
                <w:rFonts w:eastAsia="Times"/>
                <w:color w:val="000000"/>
              </w:rPr>
              <w:t> 374(6571): eabd3446.</w:t>
            </w:r>
          </w:p>
          <w:p w14:paraId="593F55E1" w14:textId="24AC8254" w:rsidR="008C17F5" w:rsidRDefault="008C17F5" w:rsidP="008C17F5">
            <w:pPr>
              <w:rPr>
                <w:rFonts w:eastAsia="Times"/>
                <w:color w:val="111111"/>
              </w:rPr>
            </w:pPr>
          </w:p>
          <w:p w14:paraId="09108724" w14:textId="77777777" w:rsidR="008C17F5" w:rsidRPr="00A34BDB" w:rsidRDefault="008C17F5" w:rsidP="008C17F5">
            <w:pPr>
              <w:rPr>
                <w:rFonts w:eastAsia="Times"/>
                <w:color w:val="111111"/>
              </w:rPr>
            </w:pPr>
          </w:p>
          <w:p w14:paraId="664615DA" w14:textId="177980C8" w:rsidR="00E509F7" w:rsidRPr="00A34BDB" w:rsidRDefault="00E509F7" w:rsidP="00E509F7">
            <w:pPr>
              <w:pBdr>
                <w:top w:val="nil"/>
                <w:left w:val="nil"/>
                <w:bottom w:val="nil"/>
                <w:right w:val="nil"/>
                <w:between w:val="nil"/>
              </w:pBdr>
              <w:jc w:val="both"/>
              <w:rPr>
                <w:rFonts w:eastAsia="Times"/>
                <w:i/>
                <w:color w:val="000000"/>
              </w:rPr>
            </w:pPr>
            <w:r w:rsidRPr="00A34BDB">
              <w:rPr>
                <w:rFonts w:eastAsia="Times"/>
                <w:i/>
                <w:color w:val="000000"/>
              </w:rPr>
              <w:t>Recom</w:t>
            </w:r>
            <w:r w:rsidR="00304C47" w:rsidRPr="00A34BDB">
              <w:rPr>
                <w:rFonts w:eastAsia="Times"/>
                <w:i/>
                <w:color w:val="000000"/>
              </w:rPr>
              <w:t>endado</w:t>
            </w:r>
            <w:r w:rsidRPr="00A34BDB">
              <w:rPr>
                <w:rFonts w:eastAsia="Times"/>
                <w:i/>
                <w:color w:val="000000"/>
              </w:rPr>
              <w:t>:</w:t>
            </w:r>
          </w:p>
          <w:p w14:paraId="74F261A7" w14:textId="77777777" w:rsidR="00304C47" w:rsidRPr="00A34BDB" w:rsidRDefault="00E509F7" w:rsidP="00304C47">
            <w:pPr>
              <w:pStyle w:val="ListParagraph"/>
              <w:numPr>
                <w:ilvl w:val="0"/>
                <w:numId w:val="5"/>
              </w:numPr>
              <w:pBdr>
                <w:top w:val="nil"/>
                <w:left w:val="nil"/>
                <w:bottom w:val="nil"/>
                <w:right w:val="nil"/>
                <w:between w:val="nil"/>
              </w:pBdr>
              <w:jc w:val="both"/>
              <w:rPr>
                <w:rFonts w:eastAsia="Times"/>
                <w:color w:val="000000"/>
              </w:rPr>
            </w:pPr>
            <w:r w:rsidRPr="00A34BDB">
              <w:rPr>
                <w:rFonts w:eastAsia="Times"/>
                <w:color w:val="000000"/>
              </w:rPr>
              <w:t xml:space="preserve">“What Works to Prevent Violence Among Youth? A White Paper on Youth Violence, Crime Prevention, and the Mexican Context.” United States Agency for International Development. </w:t>
            </w:r>
          </w:p>
          <w:p w14:paraId="74E51605" w14:textId="264D0CD7" w:rsidR="00E509F7" w:rsidRPr="00A34BDB" w:rsidRDefault="00E509F7" w:rsidP="00304C47">
            <w:pPr>
              <w:pStyle w:val="ListParagraph"/>
              <w:numPr>
                <w:ilvl w:val="0"/>
                <w:numId w:val="5"/>
              </w:numPr>
              <w:pBdr>
                <w:top w:val="nil"/>
                <w:left w:val="nil"/>
                <w:bottom w:val="nil"/>
                <w:right w:val="nil"/>
                <w:between w:val="nil"/>
              </w:pBdr>
              <w:jc w:val="both"/>
              <w:rPr>
                <w:rFonts w:eastAsia="Times"/>
                <w:color w:val="000000"/>
              </w:rPr>
            </w:pPr>
            <w:r w:rsidRPr="00A34BDB">
              <w:rPr>
                <w:rFonts w:eastAsia="Times"/>
                <w:color w:val="000000"/>
              </w:rPr>
              <w:t xml:space="preserve">Steven Mello. 2019. “More COPS, less crime.” </w:t>
            </w:r>
            <w:r w:rsidRPr="00A34BDB">
              <w:rPr>
                <w:rFonts w:eastAsia="Times"/>
                <w:i/>
                <w:color w:val="000000"/>
              </w:rPr>
              <w:t>Journal of Public Economics</w:t>
            </w:r>
            <w:r w:rsidRPr="00A34BDB">
              <w:rPr>
                <w:rFonts w:eastAsia="Times"/>
                <w:color w:val="000000"/>
              </w:rPr>
              <w:t>, 172: 174-200.</w:t>
            </w:r>
          </w:p>
          <w:p w14:paraId="1219B710" w14:textId="77777777" w:rsidR="00106A57" w:rsidRPr="00A34BDB" w:rsidRDefault="00106A57" w:rsidP="00106A57">
            <w:pPr>
              <w:pBdr>
                <w:top w:val="nil"/>
                <w:left w:val="nil"/>
                <w:bottom w:val="nil"/>
                <w:right w:val="nil"/>
                <w:between w:val="nil"/>
              </w:pBdr>
              <w:jc w:val="both"/>
              <w:rPr>
                <w:rFonts w:eastAsia="Times"/>
                <w:color w:val="000000"/>
              </w:rPr>
            </w:pPr>
          </w:p>
          <w:p w14:paraId="11EF645B" w14:textId="77777777" w:rsidR="00334812" w:rsidRPr="00A34BDB" w:rsidRDefault="00334812" w:rsidP="006C231D">
            <w:pPr>
              <w:jc w:val="center"/>
              <w:rPr>
                <w:lang w:val="es-CO"/>
              </w:rPr>
            </w:pPr>
          </w:p>
          <w:p w14:paraId="3AA9F657" w14:textId="34649686" w:rsidR="00106A57" w:rsidRPr="00A34BDB" w:rsidRDefault="00106A57" w:rsidP="006C231D">
            <w:pPr>
              <w:jc w:val="center"/>
              <w:rPr>
                <w:lang w:val="es-CO"/>
              </w:rPr>
            </w:pPr>
          </w:p>
        </w:tc>
      </w:tr>
      <w:tr w:rsidR="00334812" w:rsidRPr="00A34BDB" w14:paraId="7E4C7D5C" w14:textId="77777777" w:rsidTr="004416D7">
        <w:tc>
          <w:tcPr>
            <w:tcW w:w="1986" w:type="dxa"/>
          </w:tcPr>
          <w:p w14:paraId="2C7BF0AA" w14:textId="77777777" w:rsidR="00334812" w:rsidRPr="00A34BDB" w:rsidRDefault="00677715" w:rsidP="006C231D">
            <w:pPr>
              <w:jc w:val="center"/>
              <w:rPr>
                <w:lang w:val="es-CO"/>
              </w:rPr>
            </w:pPr>
            <w:r w:rsidRPr="00A34BDB">
              <w:rPr>
                <w:lang w:val="es-CO"/>
              </w:rPr>
              <w:t>Semana 6</w:t>
            </w:r>
          </w:p>
          <w:p w14:paraId="5C8743C5" w14:textId="5FE2F685" w:rsidR="00677715" w:rsidRPr="00A34BDB" w:rsidRDefault="00677715" w:rsidP="006C231D">
            <w:pPr>
              <w:jc w:val="center"/>
              <w:rPr>
                <w:lang w:val="es-CO"/>
              </w:rPr>
            </w:pPr>
            <w:r w:rsidRPr="00A34BDB">
              <w:rPr>
                <w:lang w:val="es-CO"/>
              </w:rPr>
              <w:t>(</w:t>
            </w:r>
            <w:r w:rsidR="008D35C4" w:rsidRPr="00A34BDB">
              <w:rPr>
                <w:lang w:val="es-CO"/>
              </w:rPr>
              <w:t>1 de marzo</w:t>
            </w:r>
            <w:r w:rsidRPr="00A34BDB">
              <w:rPr>
                <w:lang w:val="es-CO"/>
              </w:rPr>
              <w:t>)</w:t>
            </w:r>
          </w:p>
        </w:tc>
        <w:tc>
          <w:tcPr>
            <w:tcW w:w="3543" w:type="dxa"/>
          </w:tcPr>
          <w:p w14:paraId="262042B8" w14:textId="77777777" w:rsidR="00B07436" w:rsidRPr="00A34BDB" w:rsidRDefault="00B07436" w:rsidP="006C231D">
            <w:pPr>
              <w:jc w:val="center"/>
              <w:rPr>
                <w:lang w:val="es-CO"/>
              </w:rPr>
            </w:pPr>
          </w:p>
          <w:p w14:paraId="765F3F94" w14:textId="77777777" w:rsidR="00B07436" w:rsidRPr="00A34BDB" w:rsidRDefault="00B07436" w:rsidP="006C231D">
            <w:pPr>
              <w:jc w:val="center"/>
              <w:rPr>
                <w:lang w:val="es-CO"/>
              </w:rPr>
            </w:pPr>
          </w:p>
          <w:p w14:paraId="74659B14" w14:textId="77777777" w:rsidR="00B07436" w:rsidRPr="00A34BDB" w:rsidRDefault="00B07436" w:rsidP="006C231D">
            <w:pPr>
              <w:jc w:val="center"/>
              <w:rPr>
                <w:lang w:val="es-CO"/>
              </w:rPr>
            </w:pPr>
          </w:p>
          <w:p w14:paraId="5CBEBAC0" w14:textId="77777777" w:rsidR="00B07436" w:rsidRPr="00A34BDB" w:rsidRDefault="00B07436" w:rsidP="006C231D">
            <w:pPr>
              <w:jc w:val="center"/>
              <w:rPr>
                <w:lang w:val="es-CO"/>
              </w:rPr>
            </w:pPr>
          </w:p>
          <w:p w14:paraId="0ED4352F" w14:textId="77777777" w:rsidR="00B07436" w:rsidRPr="00A34BDB" w:rsidRDefault="00B07436" w:rsidP="006C231D">
            <w:pPr>
              <w:jc w:val="center"/>
              <w:rPr>
                <w:lang w:val="es-CO"/>
              </w:rPr>
            </w:pPr>
          </w:p>
          <w:p w14:paraId="3C853BC5" w14:textId="77777777" w:rsidR="00B07436" w:rsidRPr="00A34BDB" w:rsidRDefault="00B07436" w:rsidP="006C231D">
            <w:pPr>
              <w:jc w:val="center"/>
              <w:rPr>
                <w:lang w:val="es-CO"/>
              </w:rPr>
            </w:pPr>
          </w:p>
          <w:p w14:paraId="2B6EAA50" w14:textId="77777777" w:rsidR="00B07436" w:rsidRPr="00A34BDB" w:rsidRDefault="00B07436" w:rsidP="006C231D">
            <w:pPr>
              <w:jc w:val="center"/>
              <w:rPr>
                <w:lang w:val="es-CO"/>
              </w:rPr>
            </w:pPr>
          </w:p>
          <w:p w14:paraId="46E2E1A4" w14:textId="77777777" w:rsidR="00B07436" w:rsidRPr="00A34BDB" w:rsidRDefault="00B07436" w:rsidP="006C231D">
            <w:pPr>
              <w:jc w:val="center"/>
              <w:rPr>
                <w:lang w:val="es-CO"/>
              </w:rPr>
            </w:pPr>
          </w:p>
          <w:p w14:paraId="0D681971" w14:textId="77777777" w:rsidR="00B07436" w:rsidRPr="00A34BDB" w:rsidRDefault="00B07436" w:rsidP="006C231D">
            <w:pPr>
              <w:jc w:val="center"/>
              <w:rPr>
                <w:lang w:val="es-CO"/>
              </w:rPr>
            </w:pPr>
          </w:p>
          <w:p w14:paraId="1404E693" w14:textId="08F72C38" w:rsidR="00334812" w:rsidRPr="00A34BDB" w:rsidRDefault="009341D2" w:rsidP="006C231D">
            <w:pPr>
              <w:jc w:val="center"/>
              <w:rPr>
                <w:lang w:val="es-CO"/>
              </w:rPr>
            </w:pPr>
            <w:r w:rsidRPr="00A34BDB">
              <w:rPr>
                <w:lang w:val="es-CO"/>
              </w:rPr>
              <w:t>Legitimidad de la policía</w:t>
            </w:r>
            <w:r w:rsidR="005E6381" w:rsidRPr="00A34BDB">
              <w:rPr>
                <w:lang w:val="es-CO"/>
              </w:rPr>
              <w:t xml:space="preserve">: </w:t>
            </w:r>
            <w:r w:rsidRPr="00A34BDB">
              <w:rPr>
                <w:lang w:val="es-CO"/>
              </w:rPr>
              <w:t>justicia procedimental, cámaras corporales y reforma policial</w:t>
            </w:r>
          </w:p>
          <w:p w14:paraId="1CE5BAD2" w14:textId="77777777" w:rsidR="00824C1C" w:rsidRPr="00A34BDB" w:rsidRDefault="00824C1C" w:rsidP="006C231D">
            <w:pPr>
              <w:jc w:val="center"/>
              <w:rPr>
                <w:lang w:val="es-CO"/>
              </w:rPr>
            </w:pPr>
          </w:p>
          <w:p w14:paraId="4C3FC22B" w14:textId="27830E9B" w:rsidR="00E1432B" w:rsidRPr="003B765A" w:rsidRDefault="00E1432B" w:rsidP="006C231D">
            <w:pPr>
              <w:jc w:val="center"/>
              <w:rPr>
                <w:i/>
                <w:iCs/>
                <w:lang w:val="es-CO"/>
              </w:rPr>
            </w:pPr>
            <w:r w:rsidRPr="00A61AE7">
              <w:rPr>
                <w:i/>
                <w:iCs/>
                <w:highlight w:val="yellow"/>
                <w:lang w:val="es-CO"/>
              </w:rPr>
              <w:t>Invitado</w:t>
            </w:r>
            <w:r w:rsidR="003B765A" w:rsidRPr="00A61AE7">
              <w:rPr>
                <w:i/>
                <w:iCs/>
                <w:highlight w:val="yellow"/>
                <w:lang w:val="es-CO"/>
              </w:rPr>
              <w:t xml:space="preserve"> de Policía Nacional</w:t>
            </w:r>
          </w:p>
        </w:tc>
        <w:tc>
          <w:tcPr>
            <w:tcW w:w="5387" w:type="dxa"/>
          </w:tcPr>
          <w:p w14:paraId="18140B2C" w14:textId="77777777" w:rsidR="00AE4E9D" w:rsidRPr="00A34BDB" w:rsidRDefault="00AE4E9D" w:rsidP="006C231D">
            <w:pPr>
              <w:jc w:val="center"/>
              <w:rPr>
                <w:highlight w:val="yellow"/>
                <w:lang w:val="es-CO"/>
              </w:rPr>
            </w:pPr>
          </w:p>
          <w:p w14:paraId="5507F54D" w14:textId="77777777" w:rsidR="00EA327E" w:rsidRDefault="00121D13" w:rsidP="00EA327E">
            <w:r w:rsidRPr="00121D13">
              <w:t>Blair, Robert A. 2022. “Policing Practices</w:t>
            </w:r>
            <w:r>
              <w:t xml:space="preserve"> to Build Community Trust and Legitimacy in the Global South.</w:t>
            </w:r>
            <w:r w:rsidR="008E090F">
              <w:t>” National Acad</w:t>
            </w:r>
            <w:r w:rsidR="00EA327E">
              <w:t xml:space="preserve">emies </w:t>
            </w:r>
          </w:p>
          <w:p w14:paraId="5E813105" w14:textId="33F18F01" w:rsidR="00334812" w:rsidRPr="00121D13" w:rsidRDefault="00121D13" w:rsidP="006C231D">
            <w:pPr>
              <w:jc w:val="center"/>
            </w:pPr>
            <w:r w:rsidRPr="00121D13">
              <w:t xml:space="preserve"> </w:t>
            </w:r>
          </w:p>
          <w:p w14:paraId="1D426FA6" w14:textId="0EA0A011" w:rsidR="00D454BD" w:rsidRPr="00A34BDB" w:rsidRDefault="00D454BD" w:rsidP="00D454BD">
            <w:pPr>
              <w:pBdr>
                <w:top w:val="nil"/>
                <w:left w:val="nil"/>
                <w:bottom w:val="nil"/>
                <w:right w:val="nil"/>
                <w:between w:val="nil"/>
              </w:pBdr>
              <w:rPr>
                <w:rFonts w:eastAsia="Times"/>
                <w:color w:val="000000"/>
                <w:lang w:val="es-CO"/>
              </w:rPr>
            </w:pPr>
            <w:r w:rsidRPr="00A34BDB">
              <w:rPr>
                <w:rFonts w:eastAsia="Times"/>
                <w:color w:val="000000"/>
                <w:lang w:val="es-CO"/>
              </w:rPr>
              <w:t xml:space="preserve">Gary White and Natalia Alejandra Escobar Cadena. </w:t>
            </w:r>
            <w:r w:rsidRPr="00A34BDB">
              <w:rPr>
                <w:rFonts w:eastAsia="Times"/>
                <w:color w:val="000000"/>
              </w:rPr>
              <w:t xml:space="preserve">2020. “Use of Police Force: a Framework to Ensure Good Governance Over the Use of Force.” </w:t>
            </w:r>
            <w:r w:rsidRPr="00A34BDB">
              <w:rPr>
                <w:rFonts w:eastAsia="Times"/>
                <w:color w:val="000000"/>
                <w:lang w:val="es-CO"/>
              </w:rPr>
              <w:t xml:space="preserve">Pages 6-9 (executive summary) and 15-19. </w:t>
            </w:r>
          </w:p>
          <w:p w14:paraId="0BF249E2" w14:textId="77777777" w:rsidR="00D454BD" w:rsidRPr="00A34BDB" w:rsidRDefault="00D454BD" w:rsidP="00D454BD">
            <w:pPr>
              <w:pBdr>
                <w:top w:val="nil"/>
                <w:left w:val="nil"/>
                <w:bottom w:val="nil"/>
                <w:right w:val="nil"/>
                <w:between w:val="nil"/>
              </w:pBdr>
              <w:jc w:val="both"/>
              <w:rPr>
                <w:rFonts w:eastAsia="Times"/>
                <w:color w:val="000000"/>
                <w:lang w:val="es-CO"/>
              </w:rPr>
            </w:pPr>
          </w:p>
          <w:p w14:paraId="66CA9E59" w14:textId="77777777" w:rsidR="008C17F5" w:rsidRDefault="008C17F5" w:rsidP="00D454BD">
            <w:pPr>
              <w:pBdr>
                <w:top w:val="nil"/>
                <w:left w:val="nil"/>
                <w:bottom w:val="nil"/>
                <w:right w:val="nil"/>
                <w:between w:val="nil"/>
              </w:pBdr>
              <w:jc w:val="both"/>
              <w:rPr>
                <w:rFonts w:eastAsia="Times"/>
                <w:color w:val="000000"/>
                <w:lang w:val="es-CO"/>
              </w:rPr>
            </w:pPr>
            <w:r>
              <w:rPr>
                <w:rFonts w:eastAsia="Times"/>
                <w:color w:val="000000"/>
                <w:lang w:val="es-CO"/>
              </w:rPr>
              <w:t xml:space="preserve">Recomendado: </w:t>
            </w:r>
          </w:p>
          <w:p w14:paraId="017AE4C6" w14:textId="77777777" w:rsidR="008C17F5" w:rsidRDefault="00D454BD" w:rsidP="00F17B2B">
            <w:pPr>
              <w:pStyle w:val="ListParagraph"/>
              <w:numPr>
                <w:ilvl w:val="0"/>
                <w:numId w:val="5"/>
              </w:numPr>
              <w:pBdr>
                <w:top w:val="nil"/>
                <w:left w:val="nil"/>
                <w:bottom w:val="nil"/>
                <w:right w:val="nil"/>
                <w:between w:val="nil"/>
              </w:pBdr>
              <w:jc w:val="both"/>
              <w:rPr>
                <w:rFonts w:eastAsia="Times"/>
                <w:color w:val="000000"/>
              </w:rPr>
            </w:pPr>
            <w:r w:rsidRPr="008C17F5">
              <w:rPr>
                <w:rFonts w:eastAsia="Times"/>
                <w:color w:val="000000"/>
                <w:lang w:val="es-CO"/>
              </w:rPr>
              <w:t xml:space="preserve">Casas Dupuy, Pablo. 2005. </w:t>
            </w:r>
            <w:r w:rsidRPr="008C17F5">
              <w:rPr>
                <w:rFonts w:eastAsia="Times"/>
                <w:i/>
                <w:color w:val="000000"/>
                <w:lang w:val="es-CO"/>
              </w:rPr>
              <w:t>Reformas y Contrarreformas en la Policía Colombiana.</w:t>
            </w:r>
            <w:r w:rsidRPr="008C17F5">
              <w:rPr>
                <w:rFonts w:eastAsia="Times"/>
                <w:color w:val="000000"/>
                <w:lang w:val="es-CO"/>
              </w:rPr>
              <w:t xml:space="preserve"> </w:t>
            </w:r>
            <w:r w:rsidRPr="008C17F5">
              <w:rPr>
                <w:rFonts w:eastAsia="Times"/>
                <w:color w:val="000000"/>
              </w:rPr>
              <w:t>1-80.</w:t>
            </w:r>
          </w:p>
          <w:p w14:paraId="4DE66174" w14:textId="680ACD82" w:rsidR="00F17B2B" w:rsidRPr="008C17F5" w:rsidRDefault="00F17B2B" w:rsidP="00F17B2B">
            <w:pPr>
              <w:pStyle w:val="ListParagraph"/>
              <w:numPr>
                <w:ilvl w:val="0"/>
                <w:numId w:val="5"/>
              </w:numPr>
              <w:pBdr>
                <w:top w:val="nil"/>
                <w:left w:val="nil"/>
                <w:bottom w:val="nil"/>
                <w:right w:val="nil"/>
                <w:between w:val="nil"/>
              </w:pBdr>
              <w:jc w:val="both"/>
              <w:rPr>
                <w:rFonts w:eastAsia="Times"/>
                <w:color w:val="000000"/>
              </w:rPr>
            </w:pPr>
            <w:r w:rsidRPr="008C17F5">
              <w:rPr>
                <w:rFonts w:eastAsia="Times"/>
              </w:rPr>
              <w:lastRenderedPageBreak/>
              <w:t xml:space="preserve">Barak Ariel, Alex Sutherland, Darren Henstock, Josh Young, Paul Drover, Jayne Sykes, Simon Megicks, and Ryan Henderson. 2016. “Wearing Body Cameras Increases Assaults Against Officers and Does Not Reduce Police Use Of Force: Results from a Global Multi-Site Experiment.” </w:t>
            </w:r>
            <w:r w:rsidRPr="008C17F5">
              <w:rPr>
                <w:rFonts w:eastAsia="Times"/>
                <w:i/>
              </w:rPr>
              <w:t>European Journal of Criminology</w:t>
            </w:r>
            <w:r w:rsidRPr="008C17F5">
              <w:rPr>
                <w:rFonts w:eastAsia="Times"/>
              </w:rPr>
              <w:t>, 13(6): 744-755.</w:t>
            </w:r>
          </w:p>
          <w:p w14:paraId="0DA15993" w14:textId="77777777" w:rsidR="00726769" w:rsidRPr="00A34BDB" w:rsidRDefault="00726769" w:rsidP="00D454BD">
            <w:pPr>
              <w:pBdr>
                <w:top w:val="nil"/>
                <w:left w:val="nil"/>
                <w:bottom w:val="nil"/>
                <w:right w:val="nil"/>
                <w:between w:val="nil"/>
              </w:pBdr>
              <w:jc w:val="both"/>
              <w:rPr>
                <w:rFonts w:eastAsia="Times"/>
                <w:color w:val="000000"/>
                <w:lang w:val="es-CO"/>
              </w:rPr>
            </w:pPr>
          </w:p>
          <w:p w14:paraId="4508D126" w14:textId="7B8CAACB" w:rsidR="00D454BD" w:rsidRPr="00A34BDB" w:rsidRDefault="00D454BD" w:rsidP="00D454BD">
            <w:pPr>
              <w:rPr>
                <w:lang w:val="es-CO"/>
              </w:rPr>
            </w:pPr>
          </w:p>
        </w:tc>
      </w:tr>
      <w:tr w:rsidR="00334812" w:rsidRPr="00A34BDB" w14:paraId="70489A8A" w14:textId="77777777" w:rsidTr="004416D7">
        <w:tc>
          <w:tcPr>
            <w:tcW w:w="1986" w:type="dxa"/>
          </w:tcPr>
          <w:p w14:paraId="00EBAB7A" w14:textId="77777777" w:rsidR="00334812" w:rsidRPr="00A34BDB" w:rsidRDefault="00677715" w:rsidP="006C231D">
            <w:pPr>
              <w:jc w:val="center"/>
              <w:rPr>
                <w:lang w:val="es-CO"/>
              </w:rPr>
            </w:pPr>
            <w:r w:rsidRPr="00A34BDB">
              <w:rPr>
                <w:lang w:val="es-CO"/>
              </w:rPr>
              <w:lastRenderedPageBreak/>
              <w:t>Semana 7</w:t>
            </w:r>
          </w:p>
          <w:p w14:paraId="57723B77" w14:textId="1D7FBD81" w:rsidR="00677715" w:rsidRPr="00A34BDB" w:rsidRDefault="00677715" w:rsidP="006C231D">
            <w:pPr>
              <w:jc w:val="center"/>
              <w:rPr>
                <w:lang w:val="es-CO"/>
              </w:rPr>
            </w:pPr>
            <w:r w:rsidRPr="00A34BDB">
              <w:rPr>
                <w:lang w:val="es-CO"/>
              </w:rPr>
              <w:t>(</w:t>
            </w:r>
            <w:r w:rsidR="008D35C4" w:rsidRPr="00A34BDB">
              <w:rPr>
                <w:lang w:val="es-CO"/>
              </w:rPr>
              <w:t>8 de marzo</w:t>
            </w:r>
            <w:r w:rsidRPr="00A34BDB">
              <w:rPr>
                <w:lang w:val="es-CO"/>
              </w:rPr>
              <w:t>)</w:t>
            </w:r>
          </w:p>
        </w:tc>
        <w:tc>
          <w:tcPr>
            <w:tcW w:w="3543" w:type="dxa"/>
          </w:tcPr>
          <w:p w14:paraId="28082465" w14:textId="77777777" w:rsidR="00925818" w:rsidRPr="00A34BDB" w:rsidRDefault="00925818" w:rsidP="006C231D">
            <w:pPr>
              <w:jc w:val="center"/>
              <w:rPr>
                <w:i/>
                <w:iCs/>
                <w:lang w:val="es-CO"/>
              </w:rPr>
            </w:pPr>
          </w:p>
          <w:p w14:paraId="650B8CD9" w14:textId="77777777" w:rsidR="00925818" w:rsidRPr="00A34BDB" w:rsidRDefault="00925818" w:rsidP="006C231D">
            <w:pPr>
              <w:jc w:val="center"/>
              <w:rPr>
                <w:i/>
                <w:iCs/>
                <w:lang w:val="es-CO"/>
              </w:rPr>
            </w:pPr>
          </w:p>
          <w:p w14:paraId="0AF39CC4" w14:textId="77777777" w:rsidR="00925818" w:rsidRPr="00A34BDB" w:rsidRDefault="00925818" w:rsidP="006C231D">
            <w:pPr>
              <w:jc w:val="center"/>
              <w:rPr>
                <w:i/>
                <w:iCs/>
                <w:lang w:val="es-CO"/>
              </w:rPr>
            </w:pPr>
          </w:p>
          <w:p w14:paraId="112DB822" w14:textId="77777777" w:rsidR="00925818" w:rsidRPr="00A34BDB" w:rsidRDefault="00925818" w:rsidP="006C231D">
            <w:pPr>
              <w:jc w:val="center"/>
              <w:rPr>
                <w:i/>
                <w:iCs/>
                <w:lang w:val="es-CO"/>
              </w:rPr>
            </w:pPr>
          </w:p>
          <w:p w14:paraId="1CE15267" w14:textId="77777777" w:rsidR="00925818" w:rsidRPr="00A34BDB" w:rsidRDefault="00925818" w:rsidP="006C231D">
            <w:pPr>
              <w:jc w:val="center"/>
              <w:rPr>
                <w:i/>
                <w:iCs/>
                <w:lang w:val="es-CO"/>
              </w:rPr>
            </w:pPr>
          </w:p>
          <w:p w14:paraId="57C12986" w14:textId="77777777" w:rsidR="00925818" w:rsidRPr="00A34BDB" w:rsidRDefault="00925818" w:rsidP="006C231D">
            <w:pPr>
              <w:jc w:val="center"/>
              <w:rPr>
                <w:i/>
                <w:iCs/>
                <w:lang w:val="es-CO"/>
              </w:rPr>
            </w:pPr>
          </w:p>
          <w:p w14:paraId="73DD7587" w14:textId="77777777" w:rsidR="00925818" w:rsidRPr="00A34BDB" w:rsidRDefault="00925818" w:rsidP="006C231D">
            <w:pPr>
              <w:jc w:val="center"/>
              <w:rPr>
                <w:i/>
                <w:iCs/>
                <w:lang w:val="es-CO"/>
              </w:rPr>
            </w:pPr>
          </w:p>
          <w:p w14:paraId="201E26A3" w14:textId="2862DDA3" w:rsidR="00334812" w:rsidRPr="00A34BDB" w:rsidRDefault="005A7B2F" w:rsidP="006C231D">
            <w:pPr>
              <w:jc w:val="center"/>
              <w:rPr>
                <w:lang w:val="es-CO"/>
              </w:rPr>
            </w:pPr>
            <w:r w:rsidRPr="00A34BDB">
              <w:rPr>
                <w:i/>
                <w:iCs/>
                <w:lang w:val="es-CO"/>
              </w:rPr>
              <w:t>Mano dura</w:t>
            </w:r>
            <w:r w:rsidRPr="00A34BDB">
              <w:rPr>
                <w:lang w:val="es-CO"/>
              </w:rPr>
              <w:t xml:space="preserve"> y militarización de la policía</w:t>
            </w:r>
          </w:p>
          <w:p w14:paraId="1AA19263" w14:textId="77777777" w:rsidR="005A7B2F" w:rsidRPr="00A34BDB" w:rsidRDefault="005A7B2F" w:rsidP="006C231D">
            <w:pPr>
              <w:jc w:val="center"/>
              <w:rPr>
                <w:lang w:val="es-CO"/>
              </w:rPr>
            </w:pPr>
          </w:p>
          <w:p w14:paraId="4379A63F" w14:textId="11E57177" w:rsidR="005A7B2F" w:rsidRPr="00A61AE7" w:rsidRDefault="005A7B2F" w:rsidP="005A7B2F">
            <w:pPr>
              <w:jc w:val="center"/>
              <w:rPr>
                <w:rFonts w:eastAsia="Times"/>
                <w:i/>
                <w:iCs/>
                <w:lang w:val="es-CO"/>
              </w:rPr>
            </w:pPr>
            <w:r w:rsidRPr="00A61AE7">
              <w:rPr>
                <w:rFonts w:eastAsia="Times"/>
                <w:i/>
                <w:iCs/>
                <w:highlight w:val="yellow"/>
                <w:lang w:val="es-CO"/>
              </w:rPr>
              <w:t>Invitad</w:t>
            </w:r>
            <w:r w:rsidR="0068394A" w:rsidRPr="00A61AE7">
              <w:rPr>
                <w:rFonts w:eastAsia="Times"/>
                <w:i/>
                <w:iCs/>
                <w:highlight w:val="yellow"/>
                <w:lang w:val="es-CO"/>
              </w:rPr>
              <w:t>a</w:t>
            </w:r>
            <w:r w:rsidRPr="00A61AE7">
              <w:rPr>
                <w:rFonts w:eastAsia="Times"/>
                <w:i/>
                <w:iCs/>
                <w:highlight w:val="yellow"/>
                <w:lang w:val="es-CO"/>
              </w:rPr>
              <w:t xml:space="preserve">: </w:t>
            </w:r>
            <w:r w:rsidR="00AA404B" w:rsidRPr="00A61AE7">
              <w:rPr>
                <w:rFonts w:eastAsia="Times"/>
                <w:i/>
                <w:iCs/>
                <w:highlight w:val="yellow"/>
                <w:lang w:val="es-CO"/>
              </w:rPr>
              <w:t>Jess Zarkin</w:t>
            </w:r>
          </w:p>
          <w:p w14:paraId="5460269C" w14:textId="32CA6C18" w:rsidR="005A7B2F" w:rsidRPr="00A34BDB" w:rsidRDefault="005A7B2F" w:rsidP="005A7B2F">
            <w:pPr>
              <w:rPr>
                <w:lang w:val="es-CO"/>
              </w:rPr>
            </w:pPr>
          </w:p>
        </w:tc>
        <w:tc>
          <w:tcPr>
            <w:tcW w:w="5387" w:type="dxa"/>
          </w:tcPr>
          <w:p w14:paraId="71280E6E" w14:textId="77777777" w:rsidR="007D7E55" w:rsidRPr="00A34BDB" w:rsidRDefault="007D7E55" w:rsidP="000A4A58">
            <w:pPr>
              <w:pBdr>
                <w:top w:val="nil"/>
                <w:left w:val="nil"/>
                <w:bottom w:val="nil"/>
                <w:right w:val="nil"/>
                <w:between w:val="nil"/>
              </w:pBdr>
              <w:jc w:val="both"/>
              <w:rPr>
                <w:rFonts w:eastAsia="Times"/>
                <w:color w:val="000000"/>
              </w:rPr>
            </w:pPr>
            <w:r w:rsidRPr="00A34BDB">
              <w:rPr>
                <w:rFonts w:eastAsia="Times"/>
                <w:color w:val="000000"/>
              </w:rPr>
              <w:t xml:space="preserve">Robert Blair and Michael Weintraub. “Military Policing Does Not Reduce Crime and May Exacerbate Human Rights Abuses.” Working paper. </w:t>
            </w:r>
          </w:p>
          <w:p w14:paraId="4D0FD7D4" w14:textId="77777777" w:rsidR="00FC3AE6" w:rsidRPr="00A34BDB" w:rsidRDefault="00FC3AE6" w:rsidP="007D7E55">
            <w:pPr>
              <w:pBdr>
                <w:top w:val="nil"/>
                <w:left w:val="nil"/>
                <w:bottom w:val="nil"/>
                <w:right w:val="nil"/>
                <w:between w:val="nil"/>
              </w:pBdr>
              <w:rPr>
                <w:rFonts w:eastAsia="Times"/>
                <w:color w:val="000000"/>
              </w:rPr>
            </w:pPr>
          </w:p>
          <w:p w14:paraId="28BE7EC2" w14:textId="54DA12CB" w:rsidR="007D7E55" w:rsidRPr="00A34BDB" w:rsidRDefault="007D7E55" w:rsidP="007D7E55">
            <w:pPr>
              <w:pBdr>
                <w:top w:val="nil"/>
                <w:left w:val="nil"/>
                <w:bottom w:val="nil"/>
                <w:right w:val="nil"/>
                <w:between w:val="nil"/>
              </w:pBdr>
              <w:rPr>
                <w:rFonts w:eastAsia="Times"/>
                <w:color w:val="000000"/>
              </w:rPr>
            </w:pPr>
            <w:r w:rsidRPr="00A34BDB">
              <w:rPr>
                <w:rFonts w:eastAsia="Times"/>
                <w:color w:val="000000"/>
              </w:rPr>
              <w:t xml:space="preserve">Gustavo Flores-Macías and Jess Zarkin. Forthcoming. “The Militarization of Law Enforcement: Evidence from Latin America.” </w:t>
            </w:r>
            <w:r w:rsidRPr="00A34BDB">
              <w:rPr>
                <w:rFonts w:eastAsia="Times"/>
                <w:i/>
                <w:color w:val="000000"/>
              </w:rPr>
              <w:t>Perspectives on Politics</w:t>
            </w:r>
            <w:r w:rsidRPr="00A34BDB">
              <w:rPr>
                <w:rFonts w:eastAsia="Times"/>
                <w:color w:val="000000"/>
              </w:rPr>
              <w:t>.</w:t>
            </w:r>
          </w:p>
          <w:p w14:paraId="6CD3DA1F" w14:textId="77777777" w:rsidR="007D7E55" w:rsidRPr="00A34BDB" w:rsidRDefault="007D7E55" w:rsidP="007D7E55">
            <w:pPr>
              <w:pBdr>
                <w:top w:val="nil"/>
                <w:left w:val="nil"/>
                <w:bottom w:val="nil"/>
                <w:right w:val="nil"/>
                <w:between w:val="nil"/>
              </w:pBdr>
              <w:jc w:val="both"/>
              <w:rPr>
                <w:rFonts w:eastAsia="Times"/>
                <w:i/>
                <w:color w:val="000000"/>
              </w:rPr>
            </w:pPr>
          </w:p>
          <w:p w14:paraId="3334E0F9" w14:textId="4465C6D5" w:rsidR="00304C47" w:rsidRDefault="00304C47" w:rsidP="00304C47">
            <w:pPr>
              <w:pBdr>
                <w:top w:val="nil"/>
                <w:left w:val="nil"/>
                <w:bottom w:val="nil"/>
                <w:right w:val="nil"/>
                <w:between w:val="nil"/>
              </w:pBdr>
              <w:jc w:val="both"/>
              <w:rPr>
                <w:rFonts w:eastAsia="Times"/>
                <w:i/>
                <w:color w:val="000000"/>
              </w:rPr>
            </w:pPr>
            <w:r w:rsidRPr="00A34BDB">
              <w:rPr>
                <w:rFonts w:eastAsia="Times"/>
                <w:i/>
                <w:color w:val="000000"/>
              </w:rPr>
              <w:t xml:space="preserve">Recomendado: </w:t>
            </w:r>
          </w:p>
          <w:p w14:paraId="0F89B34C" w14:textId="77777777" w:rsidR="008C17F5" w:rsidRPr="00A34BDB" w:rsidRDefault="008C17F5" w:rsidP="00304C47">
            <w:pPr>
              <w:pBdr>
                <w:top w:val="nil"/>
                <w:left w:val="nil"/>
                <w:bottom w:val="nil"/>
                <w:right w:val="nil"/>
                <w:between w:val="nil"/>
              </w:pBdr>
              <w:jc w:val="both"/>
              <w:rPr>
                <w:rFonts w:eastAsia="Times"/>
                <w:color w:val="000000"/>
              </w:rPr>
            </w:pPr>
          </w:p>
          <w:p w14:paraId="5377302B" w14:textId="60BFA54A" w:rsidR="007D7E55" w:rsidRPr="00A34BDB" w:rsidRDefault="007D7E55" w:rsidP="007D7E55">
            <w:pPr>
              <w:pStyle w:val="ListParagraph"/>
              <w:numPr>
                <w:ilvl w:val="0"/>
                <w:numId w:val="5"/>
              </w:numPr>
              <w:pBdr>
                <w:top w:val="nil"/>
                <w:left w:val="nil"/>
                <w:bottom w:val="nil"/>
                <w:right w:val="nil"/>
                <w:between w:val="nil"/>
              </w:pBdr>
              <w:jc w:val="both"/>
              <w:rPr>
                <w:rFonts w:eastAsia="Times"/>
                <w:color w:val="000000"/>
              </w:rPr>
            </w:pPr>
            <w:r w:rsidRPr="00A34BDB">
              <w:rPr>
                <w:rFonts w:eastAsia="Times"/>
                <w:color w:val="000000"/>
              </w:rPr>
              <w:t xml:space="preserve">Vincenzo Bove and Evelina Gavrilova. 2017. “Police Officer on the Frontline or a Soldier? The Effect of Police Militarization on Crime.” </w:t>
            </w:r>
            <w:r w:rsidRPr="00A34BDB">
              <w:rPr>
                <w:rFonts w:eastAsia="Times"/>
                <w:i/>
                <w:color w:val="000000"/>
              </w:rPr>
              <w:t>American Economic Journal: Economic Policy</w:t>
            </w:r>
            <w:r w:rsidRPr="00A34BDB">
              <w:rPr>
                <w:rFonts w:eastAsia="Times"/>
                <w:color w:val="000000"/>
              </w:rPr>
              <w:t xml:space="preserve"> 9(3): 1-18.</w:t>
            </w:r>
          </w:p>
          <w:p w14:paraId="1E7FC1E8" w14:textId="62620D7C" w:rsidR="007D7E55" w:rsidRPr="00A34BDB" w:rsidRDefault="007D7E55" w:rsidP="007D7E55">
            <w:pPr>
              <w:pStyle w:val="ListParagraph"/>
              <w:numPr>
                <w:ilvl w:val="0"/>
                <w:numId w:val="5"/>
              </w:numPr>
              <w:pBdr>
                <w:top w:val="nil"/>
                <w:left w:val="nil"/>
                <w:bottom w:val="nil"/>
                <w:right w:val="nil"/>
                <w:between w:val="nil"/>
              </w:pBdr>
              <w:jc w:val="both"/>
              <w:rPr>
                <w:rFonts w:eastAsia="Times"/>
                <w:color w:val="000000"/>
              </w:rPr>
            </w:pPr>
            <w:r w:rsidRPr="00A34BDB">
              <w:rPr>
                <w:rFonts w:eastAsia="Times"/>
                <w:color w:val="000000"/>
                <w:lang w:val="es-CO"/>
              </w:rPr>
              <w:t xml:space="preserve">Beatriz Magaloni, Edgar Franco Vivanco, and Vanessa Melo. 2018. </w:t>
            </w:r>
            <w:r w:rsidRPr="00A34BDB">
              <w:rPr>
                <w:rFonts w:eastAsia="Times"/>
                <w:color w:val="000000"/>
              </w:rPr>
              <w:t>“Killing in the Slums: Social Order, Criminal Governance, and Police Violence in Rio de Janeiro.” Working paper. November.</w:t>
            </w:r>
          </w:p>
          <w:p w14:paraId="07B61B79" w14:textId="77777777" w:rsidR="00334812" w:rsidRPr="00A34BDB" w:rsidRDefault="00334812" w:rsidP="006C231D">
            <w:pPr>
              <w:jc w:val="center"/>
              <w:rPr>
                <w:lang w:val="es-CO"/>
              </w:rPr>
            </w:pPr>
          </w:p>
        </w:tc>
      </w:tr>
      <w:tr w:rsidR="004178BF" w:rsidRPr="00A34BDB" w14:paraId="651628AF" w14:textId="77777777" w:rsidTr="00DE6AF4">
        <w:tc>
          <w:tcPr>
            <w:tcW w:w="10916" w:type="dxa"/>
            <w:gridSpan w:val="3"/>
          </w:tcPr>
          <w:p w14:paraId="307DCC5F" w14:textId="3BE72843" w:rsidR="004178BF" w:rsidRPr="00A34BDB" w:rsidRDefault="00BD6662" w:rsidP="00BD6662">
            <w:pPr>
              <w:pStyle w:val="ListParagraph"/>
              <w:numPr>
                <w:ilvl w:val="0"/>
                <w:numId w:val="8"/>
              </w:numPr>
              <w:spacing w:line="360" w:lineRule="auto"/>
              <w:rPr>
                <w:rFonts w:eastAsia="Times"/>
                <w:b/>
                <w:bCs/>
                <w:i/>
                <w:iCs/>
              </w:rPr>
            </w:pPr>
            <w:r w:rsidRPr="00A34BDB">
              <w:rPr>
                <w:rFonts w:eastAsia="Times"/>
                <w:b/>
                <w:bCs/>
                <w:i/>
                <w:iCs/>
              </w:rPr>
              <w:t>Reincidencia criminal y prisiones</w:t>
            </w:r>
          </w:p>
        </w:tc>
      </w:tr>
      <w:tr w:rsidR="00677715" w:rsidRPr="00A34BDB" w14:paraId="0E44C5E5" w14:textId="77777777" w:rsidTr="004416D7">
        <w:tc>
          <w:tcPr>
            <w:tcW w:w="1986" w:type="dxa"/>
          </w:tcPr>
          <w:p w14:paraId="024C16A4" w14:textId="77777777" w:rsidR="00677715" w:rsidRPr="00A34BDB" w:rsidRDefault="00677715" w:rsidP="006C231D">
            <w:pPr>
              <w:jc w:val="center"/>
              <w:rPr>
                <w:lang w:val="es-CO"/>
              </w:rPr>
            </w:pPr>
            <w:r w:rsidRPr="00A34BDB">
              <w:rPr>
                <w:lang w:val="es-CO"/>
              </w:rPr>
              <w:t>Semana 8</w:t>
            </w:r>
          </w:p>
          <w:p w14:paraId="1AF0A89E" w14:textId="0117AB8C" w:rsidR="00677715" w:rsidRPr="00A34BDB" w:rsidRDefault="00677715" w:rsidP="006C231D">
            <w:pPr>
              <w:jc w:val="center"/>
              <w:rPr>
                <w:lang w:val="es-CO"/>
              </w:rPr>
            </w:pPr>
            <w:r w:rsidRPr="00A34BDB">
              <w:rPr>
                <w:lang w:val="es-CO"/>
              </w:rPr>
              <w:t>(</w:t>
            </w:r>
            <w:r w:rsidR="008D35C4" w:rsidRPr="00A34BDB">
              <w:rPr>
                <w:lang w:val="es-CO"/>
              </w:rPr>
              <w:t>15 de marzo</w:t>
            </w:r>
            <w:r w:rsidRPr="00A34BDB">
              <w:rPr>
                <w:lang w:val="es-CO"/>
              </w:rPr>
              <w:t>)</w:t>
            </w:r>
          </w:p>
        </w:tc>
        <w:tc>
          <w:tcPr>
            <w:tcW w:w="3543" w:type="dxa"/>
          </w:tcPr>
          <w:p w14:paraId="5EA3CD50" w14:textId="57294B31" w:rsidR="00677715" w:rsidRPr="00A34BDB" w:rsidRDefault="00133D86" w:rsidP="00466A4B">
            <w:pPr>
              <w:jc w:val="center"/>
              <w:rPr>
                <w:rFonts w:eastAsia="Times"/>
                <w:lang w:val="es-CO"/>
              </w:rPr>
            </w:pPr>
            <w:r w:rsidRPr="00A34BDB">
              <w:rPr>
                <w:rFonts w:eastAsia="Times"/>
                <w:lang w:val="es-CO"/>
              </w:rPr>
              <w:t>Nuevas tecnologías</w:t>
            </w:r>
            <w:r w:rsidR="005E6381" w:rsidRPr="00A34BDB">
              <w:rPr>
                <w:rFonts w:eastAsia="Times"/>
                <w:lang w:val="es-CO"/>
              </w:rPr>
              <w:t xml:space="preserve">: </w:t>
            </w:r>
            <w:r w:rsidR="00CF5633" w:rsidRPr="00A34BDB">
              <w:rPr>
                <w:rFonts w:eastAsia="Times"/>
                <w:iCs/>
                <w:lang w:val="es-CO"/>
              </w:rPr>
              <w:t>policía</w:t>
            </w:r>
            <w:r w:rsidRPr="00A34BDB">
              <w:rPr>
                <w:rFonts w:eastAsia="Times"/>
                <w:iCs/>
                <w:lang w:val="es-CO"/>
              </w:rPr>
              <w:t xml:space="preserve"> </w:t>
            </w:r>
            <w:r w:rsidRPr="00A34BDB">
              <w:rPr>
                <w:rFonts w:eastAsia="Times"/>
                <w:lang w:val="es-CO"/>
              </w:rPr>
              <w:t>predictiva + ADN</w:t>
            </w:r>
          </w:p>
          <w:p w14:paraId="0F569E0B" w14:textId="77777777" w:rsidR="00A74B9D" w:rsidRPr="00A34BDB" w:rsidRDefault="00A74B9D" w:rsidP="006C231D">
            <w:pPr>
              <w:jc w:val="center"/>
              <w:rPr>
                <w:rFonts w:eastAsia="Times"/>
                <w:lang w:val="es-CO"/>
              </w:rPr>
            </w:pPr>
          </w:p>
          <w:p w14:paraId="65424809" w14:textId="3F238EC2" w:rsidR="00575608" w:rsidRPr="00A34BDB" w:rsidRDefault="00575608" w:rsidP="009D7194">
            <w:pPr>
              <w:jc w:val="center"/>
              <w:rPr>
                <w:rFonts w:eastAsia="Times"/>
                <w:lang w:val="es-CO"/>
              </w:rPr>
            </w:pPr>
            <w:r w:rsidRPr="00A34BDB">
              <w:rPr>
                <w:i/>
                <w:iCs/>
                <w:lang w:val="es-CO"/>
              </w:rPr>
              <w:t>Actividad:</w:t>
            </w:r>
            <w:r w:rsidRPr="00A34BDB">
              <w:rPr>
                <w:rFonts w:eastAsia="Times"/>
                <w:lang w:val="es-CO"/>
              </w:rPr>
              <w:t xml:space="preserve"> </w:t>
            </w:r>
            <w:r w:rsidRPr="00A34BDB">
              <w:rPr>
                <w:rFonts w:eastAsia="Times"/>
                <w:i/>
                <w:iCs/>
                <w:lang w:val="es-CO"/>
              </w:rPr>
              <w:t>consideraciones éticas relacionadas con</w:t>
            </w:r>
            <w:r w:rsidR="00F217CD" w:rsidRPr="00A34BDB">
              <w:rPr>
                <w:rFonts w:eastAsia="Times"/>
                <w:i/>
                <w:iCs/>
                <w:lang w:val="es-CO"/>
              </w:rPr>
              <w:t xml:space="preserve"> las</w:t>
            </w:r>
            <w:r w:rsidRPr="00A34BDB">
              <w:rPr>
                <w:rFonts w:eastAsia="Times"/>
                <w:i/>
                <w:iCs/>
                <w:lang w:val="es-CO"/>
              </w:rPr>
              <w:t xml:space="preserve"> bases de datos </w:t>
            </w:r>
            <w:r w:rsidR="00F217CD" w:rsidRPr="00A34BDB">
              <w:rPr>
                <w:rFonts w:eastAsia="Times"/>
                <w:i/>
                <w:iCs/>
                <w:lang w:val="es-CO"/>
              </w:rPr>
              <w:t xml:space="preserve">de </w:t>
            </w:r>
            <w:r w:rsidRPr="00A34BDB">
              <w:rPr>
                <w:rFonts w:eastAsia="Times"/>
                <w:i/>
                <w:iCs/>
                <w:lang w:val="es-CO"/>
              </w:rPr>
              <w:t>ADN.</w:t>
            </w:r>
          </w:p>
          <w:p w14:paraId="1897AF99" w14:textId="77777777" w:rsidR="00575608" w:rsidRPr="00A34BDB" w:rsidRDefault="00575608" w:rsidP="006C231D">
            <w:pPr>
              <w:jc w:val="center"/>
              <w:rPr>
                <w:lang w:val="es-CO"/>
              </w:rPr>
            </w:pPr>
          </w:p>
          <w:p w14:paraId="1D816EF2" w14:textId="6347E0F1" w:rsidR="00595FEF" w:rsidRPr="00A34BDB" w:rsidRDefault="000A6D45" w:rsidP="006C231D">
            <w:pPr>
              <w:jc w:val="center"/>
              <w:rPr>
                <w:lang w:val="es-CO"/>
              </w:rPr>
            </w:pPr>
            <w:r w:rsidRPr="00A34BDB">
              <w:rPr>
                <w:color w:val="FF0000"/>
                <w:lang w:val="es-CO"/>
              </w:rPr>
              <w:t>E</w:t>
            </w:r>
            <w:r w:rsidR="00150E2A" w:rsidRPr="00A34BDB">
              <w:rPr>
                <w:color w:val="FF0000"/>
                <w:lang w:val="es-CO"/>
              </w:rPr>
              <w:t>XAMEN PARCIAL</w:t>
            </w:r>
          </w:p>
        </w:tc>
        <w:tc>
          <w:tcPr>
            <w:tcW w:w="5387" w:type="dxa"/>
          </w:tcPr>
          <w:p w14:paraId="48A85BC9" w14:textId="77777777" w:rsidR="00543B77" w:rsidRPr="00A34BDB" w:rsidRDefault="00543B77" w:rsidP="00543B77">
            <w:pPr>
              <w:rPr>
                <w:rFonts w:eastAsia="Times"/>
              </w:rPr>
            </w:pPr>
            <w:r w:rsidRPr="00A34BDB">
              <w:rPr>
                <w:rFonts w:eastAsia="Times"/>
              </w:rPr>
              <w:t xml:space="preserve">Giovanni Mastrobuoni. 2020. “Crime is Terribly Revealing: Information Technology and Police Productivity.” </w:t>
            </w:r>
            <w:r w:rsidRPr="00A34BDB">
              <w:rPr>
                <w:rFonts w:eastAsia="Times"/>
                <w:i/>
              </w:rPr>
              <w:t>The Review of Economic Studies</w:t>
            </w:r>
            <w:r w:rsidRPr="00A34BDB">
              <w:rPr>
                <w:rFonts w:eastAsia="Times"/>
              </w:rPr>
              <w:t xml:space="preserve">, 87(6), 2727–2753. </w:t>
            </w:r>
          </w:p>
          <w:p w14:paraId="71C273CB" w14:textId="77777777" w:rsidR="00595FEF" w:rsidRPr="00A34BDB" w:rsidRDefault="00595FEF" w:rsidP="00595FEF">
            <w:pPr>
              <w:rPr>
                <w:rFonts w:eastAsia="Times"/>
              </w:rPr>
            </w:pPr>
          </w:p>
          <w:p w14:paraId="0C8F1B28" w14:textId="4FC5C925" w:rsidR="00595FEF" w:rsidRPr="00A34BDB" w:rsidRDefault="00595FEF" w:rsidP="00595FEF">
            <w:pPr>
              <w:rPr>
                <w:rFonts w:eastAsia="Times"/>
              </w:rPr>
            </w:pPr>
            <w:r w:rsidRPr="00A34BDB">
              <w:rPr>
                <w:rFonts w:eastAsia="Times"/>
              </w:rPr>
              <w:t xml:space="preserve">Doleac, Jennifer L. 2017. “The Effects of DNA Databases on Crime.” </w:t>
            </w:r>
            <w:r w:rsidRPr="00A34BDB">
              <w:rPr>
                <w:rFonts w:eastAsia="Times"/>
                <w:i/>
              </w:rPr>
              <w:t>American Economic Journal: Applied Economics</w:t>
            </w:r>
            <w:r w:rsidRPr="00A34BDB">
              <w:rPr>
                <w:rFonts w:eastAsia="Times"/>
              </w:rPr>
              <w:t>, 9(1): 165-201.</w:t>
            </w:r>
          </w:p>
          <w:p w14:paraId="098A0093" w14:textId="77777777" w:rsidR="00677715" w:rsidRPr="00A34BDB" w:rsidRDefault="00677715" w:rsidP="00595FEF">
            <w:pPr>
              <w:rPr>
                <w:lang w:val="es-CO"/>
              </w:rPr>
            </w:pPr>
          </w:p>
        </w:tc>
      </w:tr>
      <w:tr w:rsidR="00517F81" w:rsidRPr="00A34BDB" w14:paraId="520B8CC3" w14:textId="77777777" w:rsidTr="00E30CDD">
        <w:tc>
          <w:tcPr>
            <w:tcW w:w="10916" w:type="dxa"/>
            <w:gridSpan w:val="3"/>
            <w:shd w:val="clear" w:color="auto" w:fill="BFBFBF" w:themeFill="background1" w:themeFillShade="BF"/>
          </w:tcPr>
          <w:p w14:paraId="6675D8D0" w14:textId="7FCC5572" w:rsidR="002633A4" w:rsidRPr="00A34BDB" w:rsidRDefault="00517F81" w:rsidP="002633A4">
            <w:pPr>
              <w:spacing w:line="360" w:lineRule="auto"/>
              <w:jc w:val="center"/>
              <w:rPr>
                <w:lang w:val="es-CO"/>
              </w:rPr>
            </w:pPr>
            <w:r w:rsidRPr="00A34BDB">
              <w:rPr>
                <w:lang w:val="es-CO"/>
              </w:rPr>
              <w:t>Semana de receso</w:t>
            </w:r>
          </w:p>
        </w:tc>
      </w:tr>
      <w:tr w:rsidR="00677715" w:rsidRPr="00A34BDB" w14:paraId="1256976F" w14:textId="77777777" w:rsidTr="004416D7">
        <w:tc>
          <w:tcPr>
            <w:tcW w:w="1986" w:type="dxa"/>
          </w:tcPr>
          <w:p w14:paraId="2929D223" w14:textId="77777777" w:rsidR="00677715" w:rsidRPr="00A34BDB" w:rsidRDefault="005F56BC" w:rsidP="006C231D">
            <w:pPr>
              <w:jc w:val="center"/>
              <w:rPr>
                <w:lang w:val="es-CO"/>
              </w:rPr>
            </w:pPr>
            <w:r w:rsidRPr="00A34BDB">
              <w:rPr>
                <w:lang w:val="es-CO"/>
              </w:rPr>
              <w:lastRenderedPageBreak/>
              <w:t>Semana 9</w:t>
            </w:r>
          </w:p>
          <w:p w14:paraId="2023EF95" w14:textId="0D7534C0" w:rsidR="005F56BC" w:rsidRPr="00A34BDB" w:rsidRDefault="005F56BC" w:rsidP="006C231D">
            <w:pPr>
              <w:jc w:val="center"/>
              <w:rPr>
                <w:lang w:val="es-CO"/>
              </w:rPr>
            </w:pPr>
            <w:r w:rsidRPr="00A34BDB">
              <w:rPr>
                <w:lang w:val="es-CO"/>
              </w:rPr>
              <w:t>(</w:t>
            </w:r>
            <w:r w:rsidR="00F22A4C" w:rsidRPr="00A34BDB">
              <w:rPr>
                <w:lang w:val="es-CO"/>
              </w:rPr>
              <w:t xml:space="preserve">29 de </w:t>
            </w:r>
            <w:r w:rsidR="00476993" w:rsidRPr="00A34BDB">
              <w:rPr>
                <w:lang w:val="es-CO"/>
              </w:rPr>
              <w:t>m</w:t>
            </w:r>
            <w:r w:rsidR="00F22A4C" w:rsidRPr="00A34BDB">
              <w:rPr>
                <w:lang w:val="es-CO"/>
              </w:rPr>
              <w:t>arzo</w:t>
            </w:r>
            <w:r w:rsidRPr="00A34BDB">
              <w:rPr>
                <w:lang w:val="es-CO"/>
              </w:rPr>
              <w:t>)</w:t>
            </w:r>
          </w:p>
        </w:tc>
        <w:tc>
          <w:tcPr>
            <w:tcW w:w="3543" w:type="dxa"/>
          </w:tcPr>
          <w:p w14:paraId="6B14C1B0" w14:textId="77777777" w:rsidR="0007236C" w:rsidRPr="00A34BDB" w:rsidRDefault="0007236C" w:rsidP="0007236C">
            <w:pPr>
              <w:rPr>
                <w:rFonts w:eastAsia="Times"/>
                <w:lang w:val="es-CO"/>
              </w:rPr>
            </w:pPr>
          </w:p>
          <w:p w14:paraId="48B61ED3" w14:textId="34143E07" w:rsidR="00A40243" w:rsidRPr="00A34BDB" w:rsidRDefault="00A40243" w:rsidP="00A40243">
            <w:pPr>
              <w:jc w:val="center"/>
              <w:rPr>
                <w:rFonts w:eastAsia="Times"/>
                <w:lang w:val="es-CO"/>
              </w:rPr>
            </w:pPr>
            <w:r w:rsidRPr="00A34BDB">
              <w:rPr>
                <w:rFonts w:eastAsia="Times"/>
                <w:lang w:val="es-CO"/>
              </w:rPr>
              <w:t>Investigación criminal</w:t>
            </w:r>
            <w:r w:rsidR="005C6FED" w:rsidRPr="00A34BDB">
              <w:rPr>
                <w:rFonts w:eastAsia="Times"/>
                <w:lang w:val="es-CO"/>
              </w:rPr>
              <w:t xml:space="preserve">: </w:t>
            </w:r>
            <w:r w:rsidRPr="00A34BDB">
              <w:rPr>
                <w:rFonts w:eastAsia="Times"/>
                <w:lang w:val="es-CO"/>
              </w:rPr>
              <w:t>cómo mejorar la investigación, algoritmos y reincidencia</w:t>
            </w:r>
            <w:r w:rsidR="005C6FED" w:rsidRPr="00A34BDB">
              <w:rPr>
                <w:rFonts w:eastAsia="Times"/>
                <w:lang w:val="es-CO"/>
              </w:rPr>
              <w:t>.</w:t>
            </w:r>
          </w:p>
          <w:p w14:paraId="56F551A0" w14:textId="1C495160" w:rsidR="000D7427" w:rsidRPr="00A34BDB" w:rsidRDefault="000D7427" w:rsidP="00A40243">
            <w:pPr>
              <w:jc w:val="center"/>
              <w:rPr>
                <w:rFonts w:eastAsia="Times"/>
                <w:lang w:val="es-CO"/>
              </w:rPr>
            </w:pPr>
          </w:p>
          <w:p w14:paraId="43C39914" w14:textId="77777777" w:rsidR="000D7427" w:rsidRPr="00A34BDB" w:rsidRDefault="000D7427" w:rsidP="00A40243">
            <w:pPr>
              <w:jc w:val="center"/>
              <w:rPr>
                <w:rFonts w:eastAsia="Times"/>
                <w:lang w:val="es-CO"/>
              </w:rPr>
            </w:pPr>
          </w:p>
          <w:p w14:paraId="7F49989B" w14:textId="77777777" w:rsidR="00190ABB" w:rsidRPr="00A34BDB" w:rsidRDefault="00190ABB" w:rsidP="00A40243">
            <w:pPr>
              <w:jc w:val="center"/>
              <w:rPr>
                <w:rFonts w:eastAsia="Times"/>
                <w:lang w:val="es-CO"/>
              </w:rPr>
            </w:pPr>
          </w:p>
          <w:p w14:paraId="1DAAD955" w14:textId="77777777" w:rsidR="00677715" w:rsidRPr="00A34BDB" w:rsidRDefault="00677715" w:rsidP="006C231D">
            <w:pPr>
              <w:jc w:val="center"/>
              <w:rPr>
                <w:lang w:val="es-CO"/>
              </w:rPr>
            </w:pPr>
          </w:p>
        </w:tc>
        <w:tc>
          <w:tcPr>
            <w:tcW w:w="5387" w:type="dxa"/>
          </w:tcPr>
          <w:p w14:paraId="2987059C" w14:textId="77777777" w:rsidR="007D2D07" w:rsidRPr="00A34BDB" w:rsidRDefault="007D2D07" w:rsidP="007D2D07">
            <w:pPr>
              <w:rPr>
                <w:rFonts w:eastAsia="Times"/>
              </w:rPr>
            </w:pPr>
            <w:r w:rsidRPr="00A34BDB">
              <w:rPr>
                <w:rFonts w:eastAsia="Times"/>
              </w:rPr>
              <w:t xml:space="preserve">Stevenson, Megan T. and Jennifer L. Doleac. “Algorithmic Risk Assessment in the Hands of Humans.” Working paper. </w:t>
            </w:r>
          </w:p>
          <w:p w14:paraId="45998F59" w14:textId="77777777" w:rsidR="0007236C" w:rsidRPr="00A34BDB" w:rsidRDefault="0007236C" w:rsidP="0007236C">
            <w:pPr>
              <w:rPr>
                <w:rFonts w:eastAsia="Times"/>
              </w:rPr>
            </w:pPr>
          </w:p>
          <w:p w14:paraId="07AF926A" w14:textId="0BB8A4DE" w:rsidR="0007236C" w:rsidRPr="00A34BDB" w:rsidRDefault="0007236C" w:rsidP="0007236C">
            <w:pPr>
              <w:rPr>
                <w:rFonts w:eastAsia="Times"/>
              </w:rPr>
            </w:pPr>
            <w:r w:rsidRPr="00A34BDB">
              <w:rPr>
                <w:rFonts w:eastAsia="Times"/>
              </w:rPr>
              <w:t xml:space="preserve">Collazos, Daniela, Leopoldo Fergusson, Miguel La Rota, Daniel Mejía, and Daniel Ortega. 2020. “CSI in the Tropics: Experimental evidence of improved public service delivery through coordination.” CEDE </w:t>
            </w:r>
          </w:p>
          <w:p w14:paraId="3E60602E" w14:textId="77777777" w:rsidR="00677715" w:rsidRPr="00A34BDB" w:rsidRDefault="00677715" w:rsidP="006C231D">
            <w:pPr>
              <w:jc w:val="center"/>
            </w:pPr>
          </w:p>
        </w:tc>
      </w:tr>
      <w:tr w:rsidR="001B2C8A" w:rsidRPr="00A34BDB" w14:paraId="16A78648" w14:textId="77777777" w:rsidTr="00E30CDD">
        <w:tc>
          <w:tcPr>
            <w:tcW w:w="10916" w:type="dxa"/>
            <w:gridSpan w:val="3"/>
            <w:shd w:val="clear" w:color="auto" w:fill="BFBFBF" w:themeFill="background1" w:themeFillShade="BF"/>
          </w:tcPr>
          <w:p w14:paraId="65A8C557" w14:textId="4434610C" w:rsidR="001B2C8A" w:rsidRPr="00A34BDB" w:rsidRDefault="001B2C8A" w:rsidP="00E30CDD">
            <w:pPr>
              <w:spacing w:line="360" w:lineRule="auto"/>
              <w:jc w:val="center"/>
              <w:rPr>
                <w:lang w:val="es-CO"/>
              </w:rPr>
            </w:pPr>
            <w:r w:rsidRPr="00A34BDB">
              <w:rPr>
                <w:lang w:val="es-CO"/>
              </w:rPr>
              <w:t>Semana Santa</w:t>
            </w:r>
          </w:p>
        </w:tc>
      </w:tr>
      <w:tr w:rsidR="00677715" w:rsidRPr="00A34BDB" w14:paraId="1FAC7797" w14:textId="77777777" w:rsidTr="004416D7">
        <w:tc>
          <w:tcPr>
            <w:tcW w:w="1986" w:type="dxa"/>
          </w:tcPr>
          <w:p w14:paraId="3E948B9C" w14:textId="77777777" w:rsidR="00677715" w:rsidRPr="00A34BDB" w:rsidRDefault="001B2C8A" w:rsidP="006C231D">
            <w:pPr>
              <w:jc w:val="center"/>
              <w:rPr>
                <w:lang w:val="es-CO"/>
              </w:rPr>
            </w:pPr>
            <w:r w:rsidRPr="00A34BDB">
              <w:rPr>
                <w:lang w:val="es-CO"/>
              </w:rPr>
              <w:t>Semana 10</w:t>
            </w:r>
          </w:p>
          <w:p w14:paraId="33D72C4F" w14:textId="04417A5C" w:rsidR="001B2C8A" w:rsidRPr="00A34BDB" w:rsidRDefault="001B2C8A" w:rsidP="006C231D">
            <w:pPr>
              <w:jc w:val="center"/>
              <w:rPr>
                <w:lang w:val="es-CO"/>
              </w:rPr>
            </w:pPr>
            <w:r w:rsidRPr="00A34BDB">
              <w:rPr>
                <w:lang w:val="es-CO"/>
              </w:rPr>
              <w:t>(</w:t>
            </w:r>
            <w:r w:rsidR="00476993" w:rsidRPr="00A34BDB">
              <w:rPr>
                <w:lang w:val="es-CO"/>
              </w:rPr>
              <w:t>12 de abril)</w:t>
            </w:r>
          </w:p>
        </w:tc>
        <w:tc>
          <w:tcPr>
            <w:tcW w:w="3543" w:type="dxa"/>
          </w:tcPr>
          <w:p w14:paraId="6EA68419" w14:textId="77777777" w:rsidR="000605C9" w:rsidRPr="00A34BDB" w:rsidRDefault="000605C9" w:rsidP="006C231D">
            <w:pPr>
              <w:jc w:val="center"/>
              <w:rPr>
                <w:lang w:val="es-CO"/>
              </w:rPr>
            </w:pPr>
          </w:p>
          <w:p w14:paraId="34DED58D" w14:textId="77777777" w:rsidR="000605C9" w:rsidRPr="00A34BDB" w:rsidRDefault="000605C9" w:rsidP="006C231D">
            <w:pPr>
              <w:jc w:val="center"/>
              <w:rPr>
                <w:lang w:val="es-CO"/>
              </w:rPr>
            </w:pPr>
          </w:p>
          <w:p w14:paraId="71EB4E79" w14:textId="77777777" w:rsidR="000605C9" w:rsidRPr="00A34BDB" w:rsidRDefault="000605C9" w:rsidP="006C231D">
            <w:pPr>
              <w:jc w:val="center"/>
              <w:rPr>
                <w:lang w:val="es-CO"/>
              </w:rPr>
            </w:pPr>
          </w:p>
          <w:p w14:paraId="7173E6AD" w14:textId="77777777" w:rsidR="000605C9" w:rsidRPr="00A34BDB" w:rsidRDefault="000605C9" w:rsidP="006C231D">
            <w:pPr>
              <w:jc w:val="center"/>
              <w:rPr>
                <w:lang w:val="es-CO"/>
              </w:rPr>
            </w:pPr>
          </w:p>
          <w:p w14:paraId="7AF298B6" w14:textId="77777777" w:rsidR="000605C9" w:rsidRPr="00A34BDB" w:rsidRDefault="000605C9" w:rsidP="006C231D">
            <w:pPr>
              <w:jc w:val="center"/>
              <w:rPr>
                <w:lang w:val="es-CO"/>
              </w:rPr>
            </w:pPr>
          </w:p>
          <w:p w14:paraId="7E6DFA7F" w14:textId="77777777" w:rsidR="000605C9" w:rsidRPr="00A34BDB" w:rsidRDefault="000605C9" w:rsidP="006C231D">
            <w:pPr>
              <w:jc w:val="center"/>
              <w:rPr>
                <w:lang w:val="es-CO"/>
              </w:rPr>
            </w:pPr>
          </w:p>
          <w:p w14:paraId="2FA4D249" w14:textId="77777777" w:rsidR="000605C9" w:rsidRPr="00A34BDB" w:rsidRDefault="000605C9" w:rsidP="006C231D">
            <w:pPr>
              <w:jc w:val="center"/>
              <w:rPr>
                <w:lang w:val="es-CO"/>
              </w:rPr>
            </w:pPr>
          </w:p>
          <w:p w14:paraId="3FFD014B" w14:textId="77777777" w:rsidR="000605C9" w:rsidRPr="00A34BDB" w:rsidRDefault="000605C9" w:rsidP="006C231D">
            <w:pPr>
              <w:jc w:val="center"/>
              <w:rPr>
                <w:lang w:val="es-CO"/>
              </w:rPr>
            </w:pPr>
          </w:p>
          <w:p w14:paraId="4B8C2DF3" w14:textId="77777777" w:rsidR="000605C9" w:rsidRPr="00A34BDB" w:rsidRDefault="000605C9" w:rsidP="006C231D">
            <w:pPr>
              <w:jc w:val="center"/>
              <w:rPr>
                <w:lang w:val="es-CO"/>
              </w:rPr>
            </w:pPr>
          </w:p>
          <w:p w14:paraId="2E73ECC5" w14:textId="77777777" w:rsidR="000605C9" w:rsidRPr="00A34BDB" w:rsidRDefault="000605C9" w:rsidP="006C231D">
            <w:pPr>
              <w:jc w:val="center"/>
              <w:rPr>
                <w:lang w:val="es-CO"/>
              </w:rPr>
            </w:pPr>
          </w:p>
          <w:p w14:paraId="6223C142" w14:textId="77777777" w:rsidR="000605C9" w:rsidRPr="00A34BDB" w:rsidRDefault="000605C9" w:rsidP="006C231D">
            <w:pPr>
              <w:jc w:val="center"/>
              <w:rPr>
                <w:lang w:val="es-CO"/>
              </w:rPr>
            </w:pPr>
          </w:p>
          <w:p w14:paraId="26E0FE0C" w14:textId="304F029B" w:rsidR="00677715" w:rsidRPr="00A34BDB" w:rsidRDefault="001A7C18" w:rsidP="006C231D">
            <w:pPr>
              <w:jc w:val="center"/>
              <w:rPr>
                <w:lang w:val="es-CO"/>
              </w:rPr>
            </w:pPr>
            <w:r w:rsidRPr="00A34BDB">
              <w:rPr>
                <w:lang w:val="es-CO"/>
              </w:rPr>
              <w:t>Prisiones</w:t>
            </w:r>
          </w:p>
          <w:p w14:paraId="3F385DB6" w14:textId="77777777" w:rsidR="00A34ADA" w:rsidRPr="00A34BDB" w:rsidRDefault="00A34ADA" w:rsidP="006C231D">
            <w:pPr>
              <w:jc w:val="center"/>
              <w:rPr>
                <w:lang w:val="es-CO"/>
              </w:rPr>
            </w:pPr>
          </w:p>
          <w:p w14:paraId="706FD7A5" w14:textId="63CB6B7F" w:rsidR="00A34ADA" w:rsidRPr="00B476FB" w:rsidRDefault="00A34ADA" w:rsidP="00A34ADA">
            <w:pPr>
              <w:jc w:val="center"/>
              <w:rPr>
                <w:rFonts w:eastAsia="Times"/>
                <w:i/>
                <w:iCs/>
                <w:lang w:val="es-CO"/>
              </w:rPr>
            </w:pPr>
            <w:r w:rsidRPr="00B476FB">
              <w:rPr>
                <w:rFonts w:eastAsia="Times"/>
                <w:i/>
                <w:iCs/>
                <w:highlight w:val="yellow"/>
                <w:lang w:val="es-CO"/>
              </w:rPr>
              <w:t xml:space="preserve">Invitado: Santiago Tobón </w:t>
            </w:r>
          </w:p>
          <w:p w14:paraId="64A8467D" w14:textId="77777777" w:rsidR="00890A6E" w:rsidRPr="00A34BDB" w:rsidRDefault="00890A6E" w:rsidP="00A34ADA">
            <w:pPr>
              <w:jc w:val="center"/>
              <w:rPr>
                <w:rFonts w:eastAsia="Times"/>
                <w:u w:val="single"/>
                <w:lang w:val="es-CO"/>
              </w:rPr>
            </w:pPr>
          </w:p>
          <w:p w14:paraId="33631EB9" w14:textId="33CFA7EE" w:rsidR="00A34ADA" w:rsidRPr="00A34BDB" w:rsidRDefault="005C65AB" w:rsidP="00A34ADA">
            <w:pPr>
              <w:jc w:val="center"/>
              <w:rPr>
                <w:rFonts w:eastAsia="Times"/>
                <w:u w:val="single"/>
                <w:lang w:val="es-CO"/>
              </w:rPr>
            </w:pPr>
            <w:r w:rsidRPr="00A34BDB">
              <w:rPr>
                <w:rFonts w:eastAsia="Times"/>
                <w:i/>
                <w:iCs/>
                <w:lang w:val="es-CO"/>
              </w:rPr>
              <w:t xml:space="preserve">Actividad: </w:t>
            </w:r>
            <w:r w:rsidR="00890A6E" w:rsidRPr="00A34BDB">
              <w:rPr>
                <w:rFonts w:eastAsia="Times"/>
                <w:i/>
                <w:iCs/>
                <w:lang w:val="es-CO"/>
              </w:rPr>
              <w:t>Simulación sobre pandillas en prisi</w:t>
            </w:r>
            <w:r w:rsidR="004D7A21" w:rsidRPr="00A34BDB">
              <w:rPr>
                <w:rFonts w:eastAsia="Times"/>
                <w:i/>
                <w:iCs/>
                <w:lang w:val="es-CO"/>
              </w:rPr>
              <w:t>ón</w:t>
            </w:r>
          </w:p>
          <w:p w14:paraId="60CB965C" w14:textId="207EE588" w:rsidR="00A34ADA" w:rsidRPr="00A34BDB" w:rsidRDefault="00A34ADA" w:rsidP="006C231D">
            <w:pPr>
              <w:jc w:val="center"/>
              <w:rPr>
                <w:lang w:val="es-CO"/>
              </w:rPr>
            </w:pPr>
          </w:p>
        </w:tc>
        <w:tc>
          <w:tcPr>
            <w:tcW w:w="5387" w:type="dxa"/>
          </w:tcPr>
          <w:p w14:paraId="062A530E" w14:textId="77777777" w:rsidR="00862205" w:rsidRPr="00A34BDB" w:rsidRDefault="00862205" w:rsidP="00862205">
            <w:pPr>
              <w:rPr>
                <w:rFonts w:eastAsia="Times"/>
              </w:rPr>
            </w:pPr>
            <w:r w:rsidRPr="00A34BDB">
              <w:rPr>
                <w:rFonts w:eastAsia="Times"/>
              </w:rPr>
              <w:t xml:space="preserve">Santiago Tobón. Forthcoming. "Do better prisons reduce recidivism? Evidence from a prison construction program." </w:t>
            </w:r>
            <w:r w:rsidRPr="00A34BDB">
              <w:rPr>
                <w:rFonts w:eastAsia="Times"/>
                <w:i/>
              </w:rPr>
              <w:t xml:space="preserve">Review of Economics and Statistics. </w:t>
            </w:r>
          </w:p>
          <w:p w14:paraId="279432BC" w14:textId="77777777" w:rsidR="00862205" w:rsidRDefault="00862205" w:rsidP="003B65A8">
            <w:pPr>
              <w:pBdr>
                <w:top w:val="nil"/>
                <w:left w:val="nil"/>
                <w:bottom w:val="nil"/>
                <w:right w:val="nil"/>
                <w:between w:val="nil"/>
              </w:pBdr>
              <w:rPr>
                <w:rFonts w:eastAsia="Times"/>
                <w:color w:val="000000"/>
              </w:rPr>
            </w:pPr>
          </w:p>
          <w:p w14:paraId="0586FC5A" w14:textId="20C102C6" w:rsidR="003B65A8" w:rsidRPr="00A34BDB" w:rsidRDefault="003B65A8" w:rsidP="003B65A8">
            <w:pPr>
              <w:pBdr>
                <w:top w:val="nil"/>
                <w:left w:val="nil"/>
                <w:bottom w:val="nil"/>
                <w:right w:val="nil"/>
                <w:between w:val="nil"/>
              </w:pBdr>
              <w:rPr>
                <w:rFonts w:eastAsia="Times"/>
                <w:color w:val="000000"/>
              </w:rPr>
            </w:pPr>
            <w:r w:rsidRPr="00A34BDB">
              <w:rPr>
                <w:rFonts w:eastAsia="Times"/>
                <w:color w:val="000000"/>
              </w:rPr>
              <w:t xml:space="preserve">David Skarbek. 2012. “Prison Gangs, Norms, and Organizations.” </w:t>
            </w:r>
            <w:r w:rsidRPr="00A34BDB">
              <w:rPr>
                <w:rFonts w:eastAsia="Times"/>
                <w:i/>
                <w:color w:val="000000"/>
              </w:rPr>
              <w:t xml:space="preserve">Journal of Economic Behavior &amp; Organization </w:t>
            </w:r>
            <w:r w:rsidRPr="00A34BDB">
              <w:rPr>
                <w:rFonts w:eastAsia="Times"/>
                <w:color w:val="000000"/>
              </w:rPr>
              <w:t xml:space="preserve">82(1) 2012: 702-716. </w:t>
            </w:r>
          </w:p>
          <w:p w14:paraId="5A70EDA3" w14:textId="77777777" w:rsidR="003B65A8" w:rsidRPr="00A34BDB" w:rsidRDefault="003B65A8" w:rsidP="003B65A8">
            <w:pPr>
              <w:pBdr>
                <w:top w:val="nil"/>
                <w:left w:val="nil"/>
                <w:bottom w:val="nil"/>
                <w:right w:val="nil"/>
                <w:between w:val="nil"/>
              </w:pBdr>
              <w:rPr>
                <w:rFonts w:eastAsia="Times"/>
              </w:rPr>
            </w:pPr>
          </w:p>
          <w:p w14:paraId="197AB351" w14:textId="77777777" w:rsidR="00862205" w:rsidRDefault="00862205" w:rsidP="003B65A8">
            <w:pPr>
              <w:pBdr>
                <w:top w:val="nil"/>
                <w:left w:val="nil"/>
                <w:bottom w:val="nil"/>
                <w:right w:val="nil"/>
                <w:between w:val="nil"/>
              </w:pBdr>
              <w:rPr>
                <w:rFonts w:eastAsia="Times"/>
              </w:rPr>
            </w:pPr>
            <w:r>
              <w:rPr>
                <w:rFonts w:eastAsia="Times"/>
              </w:rPr>
              <w:t>Recomendado:</w:t>
            </w:r>
          </w:p>
          <w:p w14:paraId="4B4B037E" w14:textId="77777777" w:rsidR="00862205" w:rsidRDefault="00862205" w:rsidP="003B65A8">
            <w:pPr>
              <w:pBdr>
                <w:top w:val="nil"/>
                <w:left w:val="nil"/>
                <w:bottom w:val="nil"/>
                <w:right w:val="nil"/>
                <w:between w:val="nil"/>
              </w:pBdr>
              <w:rPr>
                <w:rFonts w:eastAsia="Times"/>
              </w:rPr>
            </w:pPr>
          </w:p>
          <w:p w14:paraId="481E7536" w14:textId="77777777" w:rsidR="00862205" w:rsidRPr="00862205" w:rsidRDefault="003B65A8" w:rsidP="003B65A8">
            <w:pPr>
              <w:pStyle w:val="ListParagraph"/>
              <w:numPr>
                <w:ilvl w:val="0"/>
                <w:numId w:val="5"/>
              </w:numPr>
              <w:pBdr>
                <w:top w:val="nil"/>
                <w:left w:val="nil"/>
                <w:bottom w:val="nil"/>
                <w:right w:val="nil"/>
                <w:between w:val="nil"/>
              </w:pBdr>
              <w:rPr>
                <w:rFonts w:eastAsia="Times"/>
                <w:color w:val="000000"/>
              </w:rPr>
            </w:pPr>
            <w:r w:rsidRPr="00862205">
              <w:rPr>
                <w:rFonts w:eastAsia="Times"/>
              </w:rPr>
              <w:t xml:space="preserve">Artega, Carolina. 2021. “Parental Incarceration and Children's Educational Attainment.” </w:t>
            </w:r>
            <w:r w:rsidRPr="00862205">
              <w:rPr>
                <w:rFonts w:eastAsia="Times"/>
                <w:i/>
              </w:rPr>
              <w:t>Review of Economics &amp; Statistics</w:t>
            </w:r>
            <w:r w:rsidRPr="00862205">
              <w:rPr>
                <w:rFonts w:eastAsia="Times"/>
              </w:rPr>
              <w:t xml:space="preserve">.  </w:t>
            </w:r>
          </w:p>
          <w:p w14:paraId="2F11F226" w14:textId="77777777" w:rsidR="00862205" w:rsidRPr="00862205" w:rsidRDefault="003B65A8" w:rsidP="003B65A8">
            <w:pPr>
              <w:pStyle w:val="ListParagraph"/>
              <w:numPr>
                <w:ilvl w:val="0"/>
                <w:numId w:val="5"/>
              </w:numPr>
              <w:pBdr>
                <w:top w:val="nil"/>
                <w:left w:val="nil"/>
                <w:bottom w:val="nil"/>
                <w:right w:val="nil"/>
                <w:between w:val="nil"/>
              </w:pBdr>
              <w:rPr>
                <w:rFonts w:eastAsia="Times"/>
                <w:color w:val="000000"/>
              </w:rPr>
            </w:pPr>
            <w:r w:rsidRPr="00862205">
              <w:rPr>
                <w:rFonts w:eastAsia="Times"/>
              </w:rPr>
              <w:t>Will Dobbie, Jacob Goldin, and Crystal S. Yang. 2018. “The effects of pre-trial detention on conviction, future crime, and employment: Evidence from randomly assigned judges.” American Economic Review, 108(2): 201-240.</w:t>
            </w:r>
          </w:p>
          <w:p w14:paraId="6040BD10" w14:textId="77777777" w:rsidR="00862205" w:rsidRPr="00862205" w:rsidRDefault="003B65A8" w:rsidP="00862205">
            <w:pPr>
              <w:pStyle w:val="ListParagraph"/>
              <w:numPr>
                <w:ilvl w:val="0"/>
                <w:numId w:val="5"/>
              </w:numPr>
              <w:pBdr>
                <w:top w:val="nil"/>
                <w:left w:val="nil"/>
                <w:bottom w:val="nil"/>
                <w:right w:val="nil"/>
                <w:between w:val="nil"/>
              </w:pBdr>
              <w:rPr>
                <w:rFonts w:eastAsia="Times"/>
                <w:color w:val="000000"/>
              </w:rPr>
            </w:pPr>
            <w:r w:rsidRPr="00862205">
              <w:rPr>
                <w:rFonts w:eastAsia="Times"/>
              </w:rPr>
              <w:t xml:space="preserve">Amanda Y. Agan, Jennifer L. Doleac and Anna Harvey. 2021. “Misdemeanor Prosecution.” NBER Working Paper 28600. </w:t>
            </w:r>
          </w:p>
          <w:p w14:paraId="4109B3B2" w14:textId="77777777" w:rsidR="00862205" w:rsidRPr="00862205" w:rsidRDefault="000605C9" w:rsidP="000605C9">
            <w:pPr>
              <w:pStyle w:val="ListParagraph"/>
              <w:numPr>
                <w:ilvl w:val="0"/>
                <w:numId w:val="5"/>
              </w:numPr>
              <w:pBdr>
                <w:top w:val="nil"/>
                <w:left w:val="nil"/>
                <w:bottom w:val="nil"/>
                <w:right w:val="nil"/>
                <w:between w:val="nil"/>
              </w:pBdr>
              <w:rPr>
                <w:rFonts w:eastAsia="Times"/>
                <w:color w:val="000000"/>
              </w:rPr>
            </w:pPr>
            <w:r w:rsidRPr="00862205">
              <w:rPr>
                <w:rFonts w:eastAsia="Times"/>
              </w:rPr>
              <w:t xml:space="preserve">Charles E. Loeffler. “Does imprisonment alter the life course? Evidence on Crime and Employment from a Natural Experiment.” </w:t>
            </w:r>
            <w:r w:rsidRPr="00862205">
              <w:rPr>
                <w:rFonts w:eastAsia="Times"/>
                <w:i/>
              </w:rPr>
              <w:t>Criminology</w:t>
            </w:r>
            <w:r w:rsidRPr="00862205">
              <w:rPr>
                <w:rFonts w:eastAsia="Times"/>
              </w:rPr>
              <w:t xml:space="preserve">, 51(1):137–166, 2013. </w:t>
            </w:r>
          </w:p>
          <w:p w14:paraId="406421DE" w14:textId="1D898D98" w:rsidR="000605C9" w:rsidRPr="00862205" w:rsidRDefault="000605C9" w:rsidP="000605C9">
            <w:pPr>
              <w:pStyle w:val="ListParagraph"/>
              <w:numPr>
                <w:ilvl w:val="0"/>
                <w:numId w:val="5"/>
              </w:numPr>
              <w:pBdr>
                <w:top w:val="nil"/>
                <w:left w:val="nil"/>
                <w:bottom w:val="nil"/>
                <w:right w:val="nil"/>
                <w:between w:val="nil"/>
              </w:pBdr>
              <w:rPr>
                <w:rFonts w:eastAsia="Times"/>
                <w:color w:val="000000"/>
              </w:rPr>
            </w:pPr>
            <w:r w:rsidRPr="00862205">
              <w:rPr>
                <w:rFonts w:eastAsia="Times"/>
              </w:rPr>
              <w:t xml:space="preserve">Donald P. Green and Daniel Winik. 2010. “Using Random Judge Assignment to Estimate the Effects of Incarceration and Probation on Recidivism Among Drug Offenders.” </w:t>
            </w:r>
            <w:r w:rsidRPr="00862205">
              <w:rPr>
                <w:rFonts w:eastAsia="Times"/>
                <w:i/>
              </w:rPr>
              <w:t>Criminology</w:t>
            </w:r>
            <w:r w:rsidRPr="00862205">
              <w:rPr>
                <w:rFonts w:eastAsia="Times"/>
              </w:rPr>
              <w:t>, 48(2):357–387.</w:t>
            </w:r>
          </w:p>
          <w:p w14:paraId="7D542215" w14:textId="75C30BDE" w:rsidR="000605C9" w:rsidRPr="00A34BDB" w:rsidRDefault="000605C9" w:rsidP="006C231D">
            <w:pPr>
              <w:jc w:val="center"/>
            </w:pPr>
          </w:p>
        </w:tc>
      </w:tr>
      <w:tr w:rsidR="00A806AC" w:rsidRPr="00A34BDB" w14:paraId="61159189" w14:textId="77777777" w:rsidTr="007F711B">
        <w:tc>
          <w:tcPr>
            <w:tcW w:w="10916" w:type="dxa"/>
            <w:gridSpan w:val="3"/>
          </w:tcPr>
          <w:p w14:paraId="53BEFDA5" w14:textId="4EA6535E" w:rsidR="00A806AC" w:rsidRPr="00A34BDB" w:rsidRDefault="0024249D" w:rsidP="0024249D">
            <w:pPr>
              <w:pStyle w:val="ListParagraph"/>
              <w:numPr>
                <w:ilvl w:val="0"/>
                <w:numId w:val="8"/>
              </w:numPr>
              <w:spacing w:line="360" w:lineRule="auto"/>
              <w:rPr>
                <w:b/>
                <w:bCs/>
                <w:i/>
                <w:iCs/>
                <w:lang w:val="es-CO"/>
              </w:rPr>
            </w:pPr>
            <w:r w:rsidRPr="00A34BDB">
              <w:rPr>
                <w:b/>
                <w:bCs/>
                <w:i/>
                <w:iCs/>
                <w:lang w:val="es-CO"/>
              </w:rPr>
              <w:t>Factores de Riesgo</w:t>
            </w:r>
          </w:p>
        </w:tc>
      </w:tr>
      <w:tr w:rsidR="00677715" w:rsidRPr="00A34BDB" w14:paraId="6AE72434" w14:textId="77777777" w:rsidTr="004416D7">
        <w:tc>
          <w:tcPr>
            <w:tcW w:w="1986" w:type="dxa"/>
          </w:tcPr>
          <w:p w14:paraId="05BC90DB" w14:textId="77777777" w:rsidR="00677715" w:rsidRPr="00A34BDB" w:rsidRDefault="00476993" w:rsidP="006C231D">
            <w:pPr>
              <w:jc w:val="center"/>
              <w:rPr>
                <w:lang w:val="es-CO"/>
              </w:rPr>
            </w:pPr>
            <w:r w:rsidRPr="00A34BDB">
              <w:rPr>
                <w:lang w:val="es-CO"/>
              </w:rPr>
              <w:lastRenderedPageBreak/>
              <w:t>Semana 11</w:t>
            </w:r>
          </w:p>
          <w:p w14:paraId="3674AE5A" w14:textId="146A64DB" w:rsidR="00476993" w:rsidRPr="00A34BDB" w:rsidRDefault="00476993" w:rsidP="006C231D">
            <w:pPr>
              <w:jc w:val="center"/>
              <w:rPr>
                <w:lang w:val="es-CO"/>
              </w:rPr>
            </w:pPr>
            <w:r w:rsidRPr="00A34BDB">
              <w:rPr>
                <w:lang w:val="es-CO"/>
              </w:rPr>
              <w:t>(19 de abril)</w:t>
            </w:r>
          </w:p>
        </w:tc>
        <w:tc>
          <w:tcPr>
            <w:tcW w:w="3543" w:type="dxa"/>
          </w:tcPr>
          <w:p w14:paraId="377C93D4" w14:textId="77777777" w:rsidR="00F820E2" w:rsidRPr="00A34BDB" w:rsidRDefault="00F820E2" w:rsidP="006C231D">
            <w:pPr>
              <w:jc w:val="center"/>
              <w:rPr>
                <w:rFonts w:eastAsia="Times"/>
                <w:lang w:val="es-CO"/>
              </w:rPr>
            </w:pPr>
          </w:p>
          <w:p w14:paraId="4F2ABFDF" w14:textId="77777777" w:rsidR="00F820E2" w:rsidRPr="00A34BDB" w:rsidRDefault="00F820E2" w:rsidP="006C231D">
            <w:pPr>
              <w:jc w:val="center"/>
              <w:rPr>
                <w:rFonts w:eastAsia="Times"/>
                <w:lang w:val="es-CO"/>
              </w:rPr>
            </w:pPr>
          </w:p>
          <w:p w14:paraId="0FAD3EA2" w14:textId="77777777" w:rsidR="00F820E2" w:rsidRPr="00A34BDB" w:rsidRDefault="00F820E2" w:rsidP="006C231D">
            <w:pPr>
              <w:jc w:val="center"/>
              <w:rPr>
                <w:rFonts w:eastAsia="Times"/>
                <w:lang w:val="es-CO"/>
              </w:rPr>
            </w:pPr>
          </w:p>
          <w:p w14:paraId="6BD4AF2B" w14:textId="77777777" w:rsidR="00F820E2" w:rsidRPr="00A34BDB" w:rsidRDefault="00F820E2" w:rsidP="006C231D">
            <w:pPr>
              <w:jc w:val="center"/>
              <w:rPr>
                <w:rFonts w:eastAsia="Times"/>
                <w:lang w:val="es-CO"/>
              </w:rPr>
            </w:pPr>
          </w:p>
          <w:p w14:paraId="12FC725F" w14:textId="77777777" w:rsidR="00F820E2" w:rsidRPr="00A34BDB" w:rsidRDefault="00F820E2" w:rsidP="006C231D">
            <w:pPr>
              <w:jc w:val="center"/>
              <w:rPr>
                <w:rFonts w:eastAsia="Times"/>
                <w:lang w:val="es-CO"/>
              </w:rPr>
            </w:pPr>
          </w:p>
          <w:p w14:paraId="4884BFB7" w14:textId="77777777" w:rsidR="00F820E2" w:rsidRPr="00A34BDB" w:rsidRDefault="00F820E2" w:rsidP="006C231D">
            <w:pPr>
              <w:jc w:val="center"/>
              <w:rPr>
                <w:rFonts w:eastAsia="Times"/>
                <w:lang w:val="es-CO"/>
              </w:rPr>
            </w:pPr>
          </w:p>
          <w:p w14:paraId="62D1DDB0" w14:textId="77777777" w:rsidR="00F820E2" w:rsidRPr="00A34BDB" w:rsidRDefault="00F820E2" w:rsidP="006C231D">
            <w:pPr>
              <w:jc w:val="center"/>
              <w:rPr>
                <w:rFonts w:eastAsia="Times"/>
                <w:lang w:val="es-CO"/>
              </w:rPr>
            </w:pPr>
          </w:p>
          <w:p w14:paraId="3656CC61" w14:textId="77777777" w:rsidR="00F820E2" w:rsidRPr="00A34BDB" w:rsidRDefault="00F820E2" w:rsidP="006C231D">
            <w:pPr>
              <w:jc w:val="center"/>
              <w:rPr>
                <w:rFonts w:eastAsia="Times"/>
                <w:lang w:val="es-CO"/>
              </w:rPr>
            </w:pPr>
          </w:p>
          <w:p w14:paraId="73E4DD0F" w14:textId="77777777" w:rsidR="00F820E2" w:rsidRPr="00A34BDB" w:rsidRDefault="00F820E2" w:rsidP="006C231D">
            <w:pPr>
              <w:jc w:val="center"/>
              <w:rPr>
                <w:rFonts w:eastAsia="Times"/>
                <w:lang w:val="es-CO"/>
              </w:rPr>
            </w:pPr>
          </w:p>
          <w:p w14:paraId="0CBEB697" w14:textId="77777777" w:rsidR="00F820E2" w:rsidRPr="00A34BDB" w:rsidRDefault="00F820E2" w:rsidP="006C231D">
            <w:pPr>
              <w:jc w:val="center"/>
              <w:rPr>
                <w:rFonts w:eastAsia="Times"/>
                <w:lang w:val="es-CO"/>
              </w:rPr>
            </w:pPr>
          </w:p>
          <w:p w14:paraId="4D8A982A" w14:textId="77777777" w:rsidR="00F820E2" w:rsidRPr="00A34BDB" w:rsidRDefault="00F820E2" w:rsidP="006C231D">
            <w:pPr>
              <w:jc w:val="center"/>
              <w:rPr>
                <w:rFonts w:eastAsia="Times"/>
                <w:lang w:val="es-CO"/>
              </w:rPr>
            </w:pPr>
          </w:p>
          <w:p w14:paraId="62A0CFDE" w14:textId="77777777" w:rsidR="00F820E2" w:rsidRPr="00A34BDB" w:rsidRDefault="00F820E2" w:rsidP="006C231D">
            <w:pPr>
              <w:jc w:val="center"/>
              <w:rPr>
                <w:rFonts w:eastAsia="Times"/>
                <w:lang w:val="es-CO"/>
              </w:rPr>
            </w:pPr>
          </w:p>
          <w:p w14:paraId="6F78026A" w14:textId="77777777" w:rsidR="00F820E2" w:rsidRPr="00A34BDB" w:rsidRDefault="00F820E2" w:rsidP="006C231D">
            <w:pPr>
              <w:jc w:val="center"/>
              <w:rPr>
                <w:rFonts w:eastAsia="Times"/>
                <w:lang w:val="es-CO"/>
              </w:rPr>
            </w:pPr>
          </w:p>
          <w:p w14:paraId="570BD026" w14:textId="77777777" w:rsidR="00F820E2" w:rsidRPr="00A34BDB" w:rsidRDefault="00F820E2" w:rsidP="006C231D">
            <w:pPr>
              <w:jc w:val="center"/>
              <w:rPr>
                <w:rFonts w:eastAsia="Times"/>
                <w:lang w:val="es-CO"/>
              </w:rPr>
            </w:pPr>
          </w:p>
          <w:p w14:paraId="7166059A" w14:textId="77777777" w:rsidR="00F820E2" w:rsidRPr="00A34BDB" w:rsidRDefault="00F820E2" w:rsidP="006C231D">
            <w:pPr>
              <w:jc w:val="center"/>
              <w:rPr>
                <w:rFonts w:eastAsia="Times"/>
                <w:lang w:val="es-CO"/>
              </w:rPr>
            </w:pPr>
          </w:p>
          <w:p w14:paraId="68A2EC88" w14:textId="77777777" w:rsidR="00F820E2" w:rsidRPr="00A34BDB" w:rsidRDefault="00F820E2" w:rsidP="006C231D">
            <w:pPr>
              <w:jc w:val="center"/>
              <w:rPr>
                <w:rFonts w:eastAsia="Times"/>
                <w:lang w:val="es-CO"/>
              </w:rPr>
            </w:pPr>
          </w:p>
          <w:p w14:paraId="6C031BAC" w14:textId="77777777" w:rsidR="00F820E2" w:rsidRPr="00A34BDB" w:rsidRDefault="00F820E2" w:rsidP="006C231D">
            <w:pPr>
              <w:jc w:val="center"/>
              <w:rPr>
                <w:rFonts w:eastAsia="Times"/>
                <w:lang w:val="es-CO"/>
              </w:rPr>
            </w:pPr>
          </w:p>
          <w:p w14:paraId="35518C03" w14:textId="4D590AE0" w:rsidR="00677715" w:rsidRPr="00A34BDB" w:rsidRDefault="00203CC0" w:rsidP="006C231D">
            <w:pPr>
              <w:jc w:val="center"/>
              <w:rPr>
                <w:lang w:val="es-CO"/>
              </w:rPr>
            </w:pPr>
            <w:r w:rsidRPr="00A34BDB">
              <w:rPr>
                <w:rFonts w:eastAsia="Times"/>
                <w:lang w:val="es-CO"/>
              </w:rPr>
              <w:t>Drogas: producción, narcotráfico y consumo</w:t>
            </w:r>
          </w:p>
        </w:tc>
        <w:tc>
          <w:tcPr>
            <w:tcW w:w="5387" w:type="dxa"/>
          </w:tcPr>
          <w:p w14:paraId="1C2D5AA8" w14:textId="12FB919C" w:rsidR="008549F3" w:rsidRDefault="008549F3" w:rsidP="009E26B1">
            <w:pPr>
              <w:jc w:val="both"/>
              <w:rPr>
                <w:rFonts w:eastAsia="Times"/>
              </w:rPr>
            </w:pPr>
          </w:p>
          <w:p w14:paraId="26359842" w14:textId="77777777" w:rsidR="008549F3" w:rsidRPr="00A34BDB" w:rsidRDefault="008549F3" w:rsidP="008549F3">
            <w:pPr>
              <w:pBdr>
                <w:top w:val="nil"/>
                <w:left w:val="nil"/>
                <w:bottom w:val="nil"/>
                <w:right w:val="nil"/>
                <w:between w:val="nil"/>
              </w:pBdr>
              <w:spacing w:line="276" w:lineRule="auto"/>
              <w:rPr>
                <w:rFonts w:eastAsia="Times"/>
                <w:color w:val="000000"/>
              </w:rPr>
            </w:pPr>
            <w:r w:rsidRPr="00A34BDB">
              <w:rPr>
                <w:rFonts w:eastAsia="Times"/>
                <w:color w:val="000000"/>
              </w:rPr>
              <w:t xml:space="preserve">Packham, Analisa. “Are Syringe Exchange Programs Helpful or Harmful? New Evidence in the Wake of the Opioid Epidemic. NBER Working Paper #26111. </w:t>
            </w:r>
          </w:p>
          <w:p w14:paraId="580DD873" w14:textId="77777777" w:rsidR="008549F3" w:rsidRPr="00A34BDB" w:rsidRDefault="008549F3" w:rsidP="009E26B1">
            <w:pPr>
              <w:jc w:val="both"/>
              <w:rPr>
                <w:rFonts w:eastAsia="Times"/>
              </w:rPr>
            </w:pPr>
          </w:p>
          <w:p w14:paraId="5940C4A5" w14:textId="77777777" w:rsidR="009E26B1" w:rsidRPr="00A34BDB" w:rsidRDefault="009E26B1" w:rsidP="009E26B1">
            <w:pPr>
              <w:ind w:left="720"/>
              <w:jc w:val="both"/>
              <w:rPr>
                <w:rFonts w:eastAsia="Times"/>
                <w:b/>
              </w:rPr>
            </w:pPr>
          </w:p>
          <w:p w14:paraId="24C4C8C2" w14:textId="77777777" w:rsidR="009E26B1" w:rsidRPr="00A34BDB" w:rsidRDefault="009E26B1" w:rsidP="009E26B1">
            <w:pPr>
              <w:rPr>
                <w:rFonts w:eastAsia="Times"/>
              </w:rPr>
            </w:pPr>
            <w:r w:rsidRPr="00A34BDB">
              <w:rPr>
                <w:rFonts w:eastAsia="Times"/>
              </w:rPr>
              <w:t xml:space="preserve">Sviatschi, Maria Micaela. Forthcoming. “Making a Narco: Childhood Exposure to Illegal Labor Markets and Criminal Life Paths.” Econometrica.  </w:t>
            </w:r>
          </w:p>
          <w:p w14:paraId="2C5673A6" w14:textId="77777777" w:rsidR="009E26B1" w:rsidRPr="00A34BDB" w:rsidRDefault="009E26B1" w:rsidP="009E26B1">
            <w:pPr>
              <w:rPr>
                <w:rFonts w:eastAsia="Times"/>
                <w:i/>
              </w:rPr>
            </w:pPr>
          </w:p>
          <w:p w14:paraId="0B9F717D" w14:textId="2B093D51" w:rsidR="009E26B1" w:rsidRPr="00A34BDB" w:rsidRDefault="00D64A6B" w:rsidP="009E26B1">
            <w:pPr>
              <w:rPr>
                <w:rFonts w:eastAsia="Times"/>
                <w:i/>
              </w:rPr>
            </w:pPr>
            <w:r>
              <w:rPr>
                <w:rFonts w:eastAsia="Times"/>
                <w:i/>
              </w:rPr>
              <w:t>Recomendado</w:t>
            </w:r>
            <w:r w:rsidR="009E26B1" w:rsidRPr="00A34BDB">
              <w:rPr>
                <w:rFonts w:eastAsia="Times"/>
                <w:i/>
              </w:rPr>
              <w:t xml:space="preserve">: </w:t>
            </w:r>
          </w:p>
          <w:p w14:paraId="7ED17524" w14:textId="77777777" w:rsidR="009E26B1" w:rsidRPr="00A34BDB" w:rsidRDefault="009E26B1" w:rsidP="009E26B1">
            <w:pPr>
              <w:ind w:left="720"/>
              <w:rPr>
                <w:rFonts w:eastAsia="Times"/>
                <w:i/>
              </w:rPr>
            </w:pPr>
          </w:p>
          <w:p w14:paraId="4487D0C7" w14:textId="63998CE3" w:rsidR="009E26B1" w:rsidRPr="00A34BDB" w:rsidRDefault="009E26B1" w:rsidP="009E26B1">
            <w:pPr>
              <w:pStyle w:val="ListParagraph"/>
              <w:numPr>
                <w:ilvl w:val="0"/>
                <w:numId w:val="5"/>
              </w:numPr>
              <w:rPr>
                <w:rFonts w:eastAsia="Times"/>
              </w:rPr>
            </w:pPr>
            <w:r w:rsidRPr="00A34BDB">
              <w:rPr>
                <w:rFonts w:eastAsia="Times"/>
              </w:rPr>
              <w:t xml:space="preserve">Mejia, Daniel, Mounu Prem, and Juan F. Vargas. 2019. “The Rise and Persistence of Illegal Crops: Evidence from a Naive Policy Announcement.” Working paper. </w:t>
            </w:r>
          </w:p>
          <w:p w14:paraId="29612EF2" w14:textId="77777777" w:rsidR="009E26B1" w:rsidRPr="00A34BDB" w:rsidRDefault="009E26B1" w:rsidP="009E26B1">
            <w:pPr>
              <w:ind w:left="1440"/>
              <w:rPr>
                <w:rFonts w:eastAsia="Times"/>
              </w:rPr>
            </w:pPr>
          </w:p>
          <w:p w14:paraId="34E9B3BE" w14:textId="77777777" w:rsidR="008549F3" w:rsidRDefault="009E26B1" w:rsidP="008549F3">
            <w:pPr>
              <w:pStyle w:val="ListParagraph"/>
              <w:numPr>
                <w:ilvl w:val="0"/>
                <w:numId w:val="5"/>
              </w:numPr>
              <w:rPr>
                <w:rFonts w:eastAsia="Times"/>
                <w:lang w:val="es-CO"/>
              </w:rPr>
            </w:pPr>
            <w:r w:rsidRPr="00A34BDB">
              <w:rPr>
                <w:rFonts w:eastAsia="Times"/>
              </w:rPr>
              <w:t xml:space="preserve">Camacho, Adriana and Daniel Mejía. </w:t>
            </w:r>
            <w:r w:rsidRPr="00A34BDB">
              <w:rPr>
                <w:rFonts w:eastAsia="Times"/>
                <w:lang w:val="es-CO"/>
              </w:rPr>
              <w:t xml:space="preserve">2014. “Consecuencias de la aspersión aérea en la salud: evidencia desde el caso colombiano.” En </w:t>
            </w:r>
            <w:r w:rsidRPr="00A34BDB">
              <w:rPr>
                <w:rFonts w:eastAsia="Times"/>
                <w:i/>
                <w:lang w:val="es-CO"/>
              </w:rPr>
              <w:t xml:space="preserve">Costos Económicos y Sociales del Conflicto en Colombia, </w:t>
            </w:r>
            <w:r w:rsidRPr="00A34BDB">
              <w:rPr>
                <w:rFonts w:eastAsia="Times"/>
                <w:lang w:val="es-CO"/>
              </w:rPr>
              <w:t>ed. María Alejandra Arias, Adriana Camacho, Ana María Ibáñez, Daniel Mejía y Catherine Rodríguez.</w:t>
            </w:r>
          </w:p>
          <w:p w14:paraId="04A14676" w14:textId="77777777" w:rsidR="008549F3" w:rsidRPr="008549F3" w:rsidRDefault="008549F3" w:rsidP="008549F3">
            <w:pPr>
              <w:pStyle w:val="ListParagraph"/>
              <w:rPr>
                <w:rFonts w:eastAsia="Times"/>
                <w:lang w:val="es-ES"/>
              </w:rPr>
            </w:pPr>
          </w:p>
          <w:p w14:paraId="23EB21AA" w14:textId="77777777" w:rsidR="008549F3" w:rsidRPr="008549F3" w:rsidRDefault="008549F3" w:rsidP="008549F3">
            <w:pPr>
              <w:pStyle w:val="ListParagraph"/>
              <w:numPr>
                <w:ilvl w:val="0"/>
                <w:numId w:val="5"/>
              </w:numPr>
              <w:rPr>
                <w:rFonts w:eastAsia="Times"/>
                <w:lang w:val="es-CO"/>
              </w:rPr>
            </w:pPr>
            <w:r w:rsidRPr="008549F3">
              <w:rPr>
                <w:rFonts w:eastAsia="Times"/>
              </w:rPr>
              <w:t xml:space="preserve">Evelina Gavrilova, Takuma Kamada, and Floris Zoutman. Forthcoming. “Is Legal Pot Crippling Mexican Drug Trafficking Organisations? The Effect of Medical Marijuana Laws on US Crime”. </w:t>
            </w:r>
            <w:r w:rsidRPr="008549F3">
              <w:rPr>
                <w:rFonts w:eastAsia="Times"/>
                <w:i/>
              </w:rPr>
              <w:t>The Economic Journal</w:t>
            </w:r>
            <w:r w:rsidRPr="008549F3">
              <w:rPr>
                <w:rFonts w:eastAsia="Times"/>
              </w:rPr>
              <w:t>.</w:t>
            </w:r>
          </w:p>
          <w:p w14:paraId="0E7747C2" w14:textId="77777777" w:rsidR="008549F3" w:rsidRPr="008549F3" w:rsidRDefault="008549F3" w:rsidP="008549F3">
            <w:pPr>
              <w:pStyle w:val="ListParagraph"/>
              <w:rPr>
                <w:rFonts w:eastAsia="Times"/>
              </w:rPr>
            </w:pPr>
          </w:p>
          <w:p w14:paraId="3E29B21F" w14:textId="77777777" w:rsidR="008549F3" w:rsidRPr="008549F3" w:rsidRDefault="006007C7" w:rsidP="001B6D77">
            <w:pPr>
              <w:pStyle w:val="ListParagraph"/>
              <w:numPr>
                <w:ilvl w:val="0"/>
                <w:numId w:val="5"/>
              </w:numPr>
              <w:rPr>
                <w:rFonts w:eastAsia="Times"/>
                <w:lang w:val="es-CO"/>
              </w:rPr>
            </w:pPr>
            <w:r w:rsidRPr="008549F3">
              <w:rPr>
                <w:rFonts w:eastAsia="Times"/>
              </w:rPr>
              <w:t>Jennifer L. Doleac and Anita Mukherjee. 2018. “The Moral Hazard of Lifesaving Innovations: Naloxone Access, Opioid Abuse, and Crime.” Working paper.</w:t>
            </w:r>
          </w:p>
          <w:p w14:paraId="60A321E8" w14:textId="77777777" w:rsidR="008549F3" w:rsidRPr="008549F3" w:rsidRDefault="008549F3" w:rsidP="008549F3">
            <w:pPr>
              <w:pStyle w:val="ListParagraph"/>
              <w:rPr>
                <w:rFonts w:eastAsia="Times"/>
              </w:rPr>
            </w:pPr>
          </w:p>
          <w:p w14:paraId="1475165A" w14:textId="39BA610B" w:rsidR="00677715" w:rsidRPr="008549F3" w:rsidRDefault="006007C7" w:rsidP="001B6D77">
            <w:pPr>
              <w:pStyle w:val="ListParagraph"/>
              <w:numPr>
                <w:ilvl w:val="0"/>
                <w:numId w:val="5"/>
              </w:numPr>
              <w:rPr>
                <w:rFonts w:eastAsia="Times"/>
                <w:lang w:val="es-CO"/>
              </w:rPr>
            </w:pPr>
            <w:r w:rsidRPr="008549F3">
              <w:rPr>
                <w:rFonts w:eastAsia="Times"/>
              </w:rPr>
              <w:t xml:space="preserve">Carlos Dobkin and Steven L. Puller. 2007. “The Effects of Government Transfers on Monthly Cycles in Drug Abuse, Hospitalization and Mortality.” </w:t>
            </w:r>
            <w:r w:rsidRPr="008549F3">
              <w:rPr>
                <w:rFonts w:eastAsia="Times"/>
                <w:i/>
              </w:rPr>
              <w:t>Journal of Public Economics</w:t>
            </w:r>
            <w:r w:rsidRPr="008549F3">
              <w:rPr>
                <w:rFonts w:eastAsia="Times"/>
              </w:rPr>
              <w:t xml:space="preserve"> 11-12: 2137-2157.</w:t>
            </w:r>
          </w:p>
        </w:tc>
      </w:tr>
      <w:tr w:rsidR="00677715" w:rsidRPr="00A34BDB" w14:paraId="62DB3A6F" w14:textId="77777777" w:rsidTr="004416D7">
        <w:tc>
          <w:tcPr>
            <w:tcW w:w="1986" w:type="dxa"/>
          </w:tcPr>
          <w:p w14:paraId="5F443ACE" w14:textId="77777777" w:rsidR="00677715" w:rsidRPr="00A34BDB" w:rsidRDefault="00476993" w:rsidP="006C231D">
            <w:pPr>
              <w:jc w:val="center"/>
              <w:rPr>
                <w:lang w:val="es-CO"/>
              </w:rPr>
            </w:pPr>
            <w:r w:rsidRPr="00A34BDB">
              <w:rPr>
                <w:lang w:val="es-CO"/>
              </w:rPr>
              <w:t>Semana 12</w:t>
            </w:r>
          </w:p>
          <w:p w14:paraId="4064D0DB" w14:textId="08EF8A4A" w:rsidR="00476993" w:rsidRPr="00A34BDB" w:rsidRDefault="00476993" w:rsidP="006C231D">
            <w:pPr>
              <w:jc w:val="center"/>
              <w:rPr>
                <w:lang w:val="es-CO"/>
              </w:rPr>
            </w:pPr>
            <w:r w:rsidRPr="00A34BDB">
              <w:rPr>
                <w:lang w:val="es-CO"/>
              </w:rPr>
              <w:t>(</w:t>
            </w:r>
            <w:r w:rsidR="005326B8" w:rsidRPr="00A34BDB">
              <w:rPr>
                <w:lang w:val="es-CO"/>
              </w:rPr>
              <w:t>26 de abril)</w:t>
            </w:r>
          </w:p>
        </w:tc>
        <w:tc>
          <w:tcPr>
            <w:tcW w:w="3543" w:type="dxa"/>
          </w:tcPr>
          <w:p w14:paraId="4BABF447" w14:textId="77777777" w:rsidR="00BF2098" w:rsidRPr="00A34BDB" w:rsidRDefault="00BF2098" w:rsidP="006C231D">
            <w:pPr>
              <w:jc w:val="center"/>
              <w:rPr>
                <w:lang w:val="es-CO"/>
              </w:rPr>
            </w:pPr>
          </w:p>
          <w:p w14:paraId="5670CBE5" w14:textId="77777777" w:rsidR="00BF2098" w:rsidRPr="00A34BDB" w:rsidRDefault="00BF2098" w:rsidP="006C231D">
            <w:pPr>
              <w:jc w:val="center"/>
              <w:rPr>
                <w:lang w:val="es-CO"/>
              </w:rPr>
            </w:pPr>
          </w:p>
          <w:p w14:paraId="184B40B0" w14:textId="77777777" w:rsidR="00BF2098" w:rsidRPr="00A34BDB" w:rsidRDefault="00BF2098" w:rsidP="006C231D">
            <w:pPr>
              <w:jc w:val="center"/>
              <w:rPr>
                <w:lang w:val="es-CO"/>
              </w:rPr>
            </w:pPr>
          </w:p>
          <w:p w14:paraId="2969D92B" w14:textId="77777777" w:rsidR="00BF2098" w:rsidRPr="00A34BDB" w:rsidRDefault="00BF2098" w:rsidP="006C231D">
            <w:pPr>
              <w:jc w:val="center"/>
              <w:rPr>
                <w:lang w:val="es-CO"/>
              </w:rPr>
            </w:pPr>
          </w:p>
          <w:p w14:paraId="07ADA150" w14:textId="19FD671F" w:rsidR="00677715" w:rsidRPr="00A34BDB" w:rsidRDefault="00C25389" w:rsidP="006C231D">
            <w:pPr>
              <w:jc w:val="center"/>
              <w:rPr>
                <w:lang w:val="es-CO"/>
              </w:rPr>
            </w:pPr>
            <w:r w:rsidRPr="00A34BDB">
              <w:rPr>
                <w:lang w:val="es-CO"/>
              </w:rPr>
              <w:lastRenderedPageBreak/>
              <w:t>Alcohol</w:t>
            </w:r>
          </w:p>
          <w:p w14:paraId="734FF9F7" w14:textId="77777777" w:rsidR="00C25389" w:rsidRPr="00A34BDB" w:rsidRDefault="00C25389" w:rsidP="006C231D">
            <w:pPr>
              <w:jc w:val="center"/>
              <w:rPr>
                <w:lang w:val="es-CO"/>
              </w:rPr>
            </w:pPr>
          </w:p>
          <w:p w14:paraId="76AD4609" w14:textId="77194B30" w:rsidR="00C25389" w:rsidRPr="00F6719E" w:rsidRDefault="00C25389" w:rsidP="006C231D">
            <w:pPr>
              <w:jc w:val="center"/>
              <w:rPr>
                <w:i/>
                <w:iCs/>
                <w:lang w:val="es-CO"/>
              </w:rPr>
            </w:pPr>
            <w:r w:rsidRPr="00D41CD6">
              <w:rPr>
                <w:i/>
                <w:iCs/>
                <w:lang w:val="es-CO"/>
              </w:rPr>
              <w:t xml:space="preserve">Invitado: </w:t>
            </w:r>
            <w:r w:rsidR="00826479" w:rsidRPr="00D41CD6">
              <w:rPr>
                <w:i/>
                <w:iCs/>
                <w:lang w:val="es-CO"/>
              </w:rPr>
              <w:t xml:space="preserve">Responsabilidad social de </w:t>
            </w:r>
            <w:r w:rsidR="00666000" w:rsidRPr="00D41CD6">
              <w:rPr>
                <w:i/>
                <w:iCs/>
                <w:lang w:val="es-CO"/>
              </w:rPr>
              <w:t>Bavaria</w:t>
            </w:r>
          </w:p>
        </w:tc>
        <w:tc>
          <w:tcPr>
            <w:tcW w:w="5387" w:type="dxa"/>
          </w:tcPr>
          <w:p w14:paraId="3C174EE8" w14:textId="77777777" w:rsidR="00A40DB2" w:rsidRPr="00A34BDB" w:rsidRDefault="00A40DB2" w:rsidP="00A40DB2">
            <w:pPr>
              <w:rPr>
                <w:rFonts w:eastAsia="Times"/>
              </w:rPr>
            </w:pPr>
            <w:r w:rsidRPr="00A34BDB">
              <w:rPr>
                <w:rFonts w:eastAsia="Times"/>
                <w:lang w:val="es-CO"/>
              </w:rPr>
              <w:lastRenderedPageBreak/>
              <w:t xml:space="preserve">Andrés Ham, Darío Maldonado, Michael Weintraub, Andrés Felipe Camacho and Daniela Gualtero. </w:t>
            </w:r>
            <w:r w:rsidRPr="00A34BDB">
              <w:rPr>
                <w:rFonts w:eastAsia="Times"/>
              </w:rPr>
              <w:t xml:space="preserve">2021. “Reducing Alcohol-Related Violence with </w:t>
            </w:r>
            <w:r w:rsidRPr="00A34BDB">
              <w:rPr>
                <w:rFonts w:eastAsia="Times"/>
              </w:rPr>
              <w:lastRenderedPageBreak/>
              <w:t xml:space="preserve">Bartenders: A Behavioral Field Experiment.” </w:t>
            </w:r>
            <w:r w:rsidRPr="00A34BDB">
              <w:rPr>
                <w:rFonts w:eastAsia="Times"/>
                <w:i/>
              </w:rPr>
              <w:t>Journal of Policy Analysis and Management</w:t>
            </w:r>
            <w:r w:rsidRPr="00A34BDB">
              <w:rPr>
                <w:rFonts w:eastAsia="Times"/>
              </w:rPr>
              <w:t>.</w:t>
            </w:r>
          </w:p>
          <w:p w14:paraId="653AE941" w14:textId="77777777" w:rsidR="00A40DB2" w:rsidRPr="00A34BDB" w:rsidRDefault="00A40DB2" w:rsidP="00A40DB2">
            <w:pPr>
              <w:ind w:left="720"/>
              <w:rPr>
                <w:rFonts w:eastAsia="Times"/>
              </w:rPr>
            </w:pPr>
          </w:p>
          <w:p w14:paraId="20134DB0" w14:textId="77777777" w:rsidR="00A40DB2" w:rsidRPr="00A34BDB" w:rsidRDefault="00A40DB2" w:rsidP="00A40DB2">
            <w:pPr>
              <w:jc w:val="both"/>
              <w:rPr>
                <w:rFonts w:eastAsia="Times"/>
              </w:rPr>
            </w:pPr>
            <w:r w:rsidRPr="00A34BDB">
              <w:rPr>
                <w:rFonts w:eastAsia="Times"/>
              </w:rPr>
              <w:t xml:space="preserve">D. Mark Anderson. 2018. “Wet Laws, Drinking Establishments and Violent Crime.” </w:t>
            </w:r>
            <w:r w:rsidRPr="00A34BDB">
              <w:rPr>
                <w:rFonts w:eastAsia="Times"/>
                <w:i/>
              </w:rPr>
              <w:t>The Economic Journal</w:t>
            </w:r>
            <w:r w:rsidRPr="00A34BDB">
              <w:rPr>
                <w:rFonts w:eastAsia="Times"/>
              </w:rPr>
              <w:t xml:space="preserve"> 128(611): 1333-1366.</w:t>
            </w:r>
          </w:p>
          <w:p w14:paraId="1F982212" w14:textId="77777777" w:rsidR="00A40DB2" w:rsidRPr="00A34BDB" w:rsidRDefault="00A40DB2" w:rsidP="00A40DB2">
            <w:pPr>
              <w:ind w:left="720"/>
              <w:jc w:val="both"/>
              <w:rPr>
                <w:rFonts w:eastAsia="Times"/>
              </w:rPr>
            </w:pPr>
          </w:p>
          <w:p w14:paraId="5A4A179B" w14:textId="77777777" w:rsidR="00F87EBD" w:rsidRDefault="00F87EBD" w:rsidP="001B6D77">
            <w:pPr>
              <w:rPr>
                <w:rFonts w:eastAsia="Times"/>
              </w:rPr>
            </w:pPr>
            <w:r>
              <w:rPr>
                <w:rFonts w:eastAsia="Times"/>
              </w:rPr>
              <w:t xml:space="preserve">Recomendado: </w:t>
            </w:r>
          </w:p>
          <w:p w14:paraId="5433A8A6" w14:textId="12DD992D" w:rsidR="00677715" w:rsidRPr="00A34BDB" w:rsidRDefault="00A40DB2" w:rsidP="00F87EBD">
            <w:pPr>
              <w:ind w:left="708"/>
              <w:rPr>
                <w:rFonts w:eastAsia="Times"/>
              </w:rPr>
            </w:pPr>
            <w:r w:rsidRPr="00A34BDB">
              <w:rPr>
                <w:rFonts w:eastAsia="Times"/>
              </w:rPr>
              <w:t xml:space="preserve">Charlie Carpenter and Carlos Dobkin. 2015. “The Minimum Legal Drinking Age and Crime.” </w:t>
            </w:r>
            <w:r w:rsidRPr="00A34BDB">
              <w:rPr>
                <w:rFonts w:eastAsia="Times"/>
                <w:i/>
              </w:rPr>
              <w:t>Review of Economics and Statistics</w:t>
            </w:r>
            <w:r w:rsidRPr="00A34BDB">
              <w:rPr>
                <w:rFonts w:eastAsia="Times"/>
              </w:rPr>
              <w:t xml:space="preserve"> 97(2): 521–524.</w:t>
            </w:r>
          </w:p>
          <w:p w14:paraId="7064B75C" w14:textId="68EFD7B8" w:rsidR="001B6D77" w:rsidRPr="00A34BDB" w:rsidRDefault="001B6D77" w:rsidP="001B6D77">
            <w:pPr>
              <w:rPr>
                <w:rFonts w:eastAsia="Times"/>
              </w:rPr>
            </w:pPr>
          </w:p>
        </w:tc>
      </w:tr>
      <w:tr w:rsidR="005326B8" w:rsidRPr="00A34BDB" w14:paraId="287D9B5B" w14:textId="77777777" w:rsidTr="004416D7">
        <w:tc>
          <w:tcPr>
            <w:tcW w:w="1986" w:type="dxa"/>
          </w:tcPr>
          <w:p w14:paraId="2F4A759E" w14:textId="77777777" w:rsidR="005326B8" w:rsidRPr="00A34BDB" w:rsidRDefault="005326B8" w:rsidP="006C231D">
            <w:pPr>
              <w:jc w:val="center"/>
              <w:rPr>
                <w:lang w:val="es-CO"/>
              </w:rPr>
            </w:pPr>
            <w:r w:rsidRPr="00A34BDB">
              <w:rPr>
                <w:lang w:val="es-CO"/>
              </w:rPr>
              <w:lastRenderedPageBreak/>
              <w:t>Semana 13</w:t>
            </w:r>
          </w:p>
          <w:p w14:paraId="29B2C3F6" w14:textId="03E5F476" w:rsidR="005326B8" w:rsidRPr="00A34BDB" w:rsidRDefault="005326B8" w:rsidP="006C231D">
            <w:pPr>
              <w:jc w:val="center"/>
              <w:rPr>
                <w:lang w:val="es-CO"/>
              </w:rPr>
            </w:pPr>
            <w:r w:rsidRPr="00A34BDB">
              <w:rPr>
                <w:lang w:val="es-CO"/>
              </w:rPr>
              <w:t>(3 de mayo)</w:t>
            </w:r>
          </w:p>
        </w:tc>
        <w:tc>
          <w:tcPr>
            <w:tcW w:w="3543" w:type="dxa"/>
          </w:tcPr>
          <w:p w14:paraId="44419521" w14:textId="77777777" w:rsidR="00DF03F1" w:rsidRPr="00A34BDB" w:rsidRDefault="00DF03F1" w:rsidP="00DF03F1">
            <w:pPr>
              <w:rPr>
                <w:lang w:val="es-CO"/>
              </w:rPr>
            </w:pPr>
          </w:p>
          <w:p w14:paraId="49C0F5E6" w14:textId="77777777" w:rsidR="0023346A" w:rsidRPr="00A34BDB" w:rsidRDefault="0023346A" w:rsidP="006C231D">
            <w:pPr>
              <w:jc w:val="center"/>
              <w:rPr>
                <w:lang w:val="es-CO"/>
              </w:rPr>
            </w:pPr>
          </w:p>
          <w:p w14:paraId="280491C4" w14:textId="77777777" w:rsidR="0023346A" w:rsidRPr="00A34BDB" w:rsidRDefault="0023346A" w:rsidP="006C231D">
            <w:pPr>
              <w:jc w:val="center"/>
              <w:rPr>
                <w:lang w:val="es-CO"/>
              </w:rPr>
            </w:pPr>
          </w:p>
          <w:p w14:paraId="6EC2D6C0" w14:textId="77777777" w:rsidR="005326B8" w:rsidRPr="00A34BDB" w:rsidRDefault="00535347" w:rsidP="006C231D">
            <w:pPr>
              <w:jc w:val="center"/>
              <w:rPr>
                <w:lang w:val="es-CO"/>
              </w:rPr>
            </w:pPr>
            <w:r w:rsidRPr="00A34BDB">
              <w:rPr>
                <w:lang w:val="es-CO"/>
              </w:rPr>
              <w:t>Regular el acceso a las armas</w:t>
            </w:r>
          </w:p>
          <w:p w14:paraId="264ED0E8" w14:textId="77777777" w:rsidR="00D45223" w:rsidRPr="00A34BDB" w:rsidRDefault="00D45223" w:rsidP="006C231D">
            <w:pPr>
              <w:jc w:val="center"/>
              <w:rPr>
                <w:lang w:val="es-CO"/>
              </w:rPr>
            </w:pPr>
          </w:p>
          <w:p w14:paraId="4A147F38" w14:textId="489EE745" w:rsidR="00D45223" w:rsidRPr="00A34BDB" w:rsidRDefault="00D45223" w:rsidP="006C231D">
            <w:pPr>
              <w:jc w:val="center"/>
              <w:rPr>
                <w:i/>
                <w:iCs/>
                <w:lang w:val="es-CO"/>
              </w:rPr>
            </w:pPr>
            <w:r w:rsidRPr="00D41CD6">
              <w:rPr>
                <w:i/>
                <w:iCs/>
                <w:lang w:val="es-CO"/>
              </w:rPr>
              <w:t>(Actividad: Debate)</w:t>
            </w:r>
            <w:r w:rsidR="007606F3" w:rsidRPr="00D41CD6">
              <w:rPr>
                <w:i/>
                <w:iCs/>
                <w:lang w:val="es-CO"/>
              </w:rPr>
              <w:t>**</w:t>
            </w:r>
          </w:p>
        </w:tc>
        <w:tc>
          <w:tcPr>
            <w:tcW w:w="5387" w:type="dxa"/>
          </w:tcPr>
          <w:p w14:paraId="0088E1E6" w14:textId="77777777" w:rsidR="0023346A" w:rsidRPr="00A34BDB" w:rsidRDefault="0023346A" w:rsidP="00DF03F1">
            <w:pPr>
              <w:rPr>
                <w:rFonts w:eastAsia="Times"/>
              </w:rPr>
            </w:pPr>
            <w:r w:rsidRPr="00A34BDB">
              <w:rPr>
                <w:rFonts w:eastAsia="Times"/>
              </w:rPr>
              <w:t xml:space="preserve">Griffin Edwards, Erik Nesson, Joshua J. Robinson, and Fredrick Vars. 2018. “Looking Down the Barrel of a Loaded Gun: the Effect of Mandatory Handgun Purchase Delays on Homicide and Suicide.” Economic Journal, 128(616): 3117-3140. </w:t>
            </w:r>
          </w:p>
          <w:p w14:paraId="1E4EF1A0" w14:textId="77777777" w:rsidR="0023346A" w:rsidRPr="00A34BDB" w:rsidRDefault="0023346A" w:rsidP="0023346A">
            <w:pPr>
              <w:rPr>
                <w:rFonts w:eastAsia="Times"/>
              </w:rPr>
            </w:pPr>
          </w:p>
          <w:p w14:paraId="2D0D482B" w14:textId="77777777" w:rsidR="005326B8" w:rsidRPr="00A34BDB" w:rsidRDefault="0023346A" w:rsidP="00DF03F1">
            <w:pPr>
              <w:rPr>
                <w:rFonts w:eastAsia="Times"/>
              </w:rPr>
            </w:pPr>
            <w:r w:rsidRPr="00A34BDB">
              <w:rPr>
                <w:rFonts w:eastAsia="Times"/>
              </w:rPr>
              <w:t>Phillip B. Levine and Robin McKnight. 2017. “Firearms and accidental deaths: Evidence from the aftermath of the Sandy Hook school shooting.” Science, 358(6368): 1324-1328.</w:t>
            </w:r>
          </w:p>
          <w:p w14:paraId="0F6172CB" w14:textId="5CD9DD57" w:rsidR="001B6D77" w:rsidRPr="00A34BDB" w:rsidRDefault="001B6D77" w:rsidP="00DF03F1">
            <w:pPr>
              <w:rPr>
                <w:rFonts w:eastAsia="Times"/>
              </w:rPr>
            </w:pPr>
          </w:p>
        </w:tc>
      </w:tr>
      <w:tr w:rsidR="005326B8" w:rsidRPr="00A34BDB" w14:paraId="10B5BC67" w14:textId="77777777" w:rsidTr="004416D7">
        <w:tc>
          <w:tcPr>
            <w:tcW w:w="1986" w:type="dxa"/>
          </w:tcPr>
          <w:p w14:paraId="7838072F" w14:textId="77777777" w:rsidR="005326B8" w:rsidRPr="00A34BDB" w:rsidRDefault="005326B8" w:rsidP="006C231D">
            <w:pPr>
              <w:jc w:val="center"/>
              <w:rPr>
                <w:lang w:val="es-CO"/>
              </w:rPr>
            </w:pPr>
            <w:r w:rsidRPr="00A34BDB">
              <w:rPr>
                <w:lang w:val="es-CO"/>
              </w:rPr>
              <w:t>Semana 14</w:t>
            </w:r>
          </w:p>
          <w:p w14:paraId="75BDC214" w14:textId="14A8834F" w:rsidR="005326B8" w:rsidRPr="00A34BDB" w:rsidRDefault="005326B8" w:rsidP="006C231D">
            <w:pPr>
              <w:jc w:val="center"/>
              <w:rPr>
                <w:lang w:val="es-CO"/>
              </w:rPr>
            </w:pPr>
            <w:r w:rsidRPr="00A34BDB">
              <w:rPr>
                <w:lang w:val="es-CO"/>
              </w:rPr>
              <w:t>(10 de mayo)</w:t>
            </w:r>
          </w:p>
        </w:tc>
        <w:tc>
          <w:tcPr>
            <w:tcW w:w="3543" w:type="dxa"/>
          </w:tcPr>
          <w:p w14:paraId="29E1A9F1" w14:textId="77777777" w:rsidR="00B07071" w:rsidRPr="00A34BDB" w:rsidRDefault="00B07071" w:rsidP="006C231D">
            <w:pPr>
              <w:jc w:val="center"/>
            </w:pPr>
          </w:p>
          <w:p w14:paraId="51127610" w14:textId="77777777" w:rsidR="00B07071" w:rsidRPr="00A34BDB" w:rsidRDefault="00B07071" w:rsidP="006C231D">
            <w:pPr>
              <w:jc w:val="center"/>
            </w:pPr>
          </w:p>
          <w:p w14:paraId="075E2D8F" w14:textId="77777777" w:rsidR="00B07071" w:rsidRPr="00A34BDB" w:rsidRDefault="00B07071" w:rsidP="006C231D">
            <w:pPr>
              <w:jc w:val="center"/>
            </w:pPr>
          </w:p>
          <w:p w14:paraId="4AF7F129" w14:textId="77777777" w:rsidR="00DF5858" w:rsidRPr="00A34BDB" w:rsidRDefault="00DF5858" w:rsidP="006C231D">
            <w:pPr>
              <w:jc w:val="center"/>
            </w:pPr>
          </w:p>
          <w:p w14:paraId="0BCB792C" w14:textId="3DDC6413" w:rsidR="005326B8" w:rsidRPr="00A34BDB" w:rsidRDefault="00E135E2" w:rsidP="006C231D">
            <w:pPr>
              <w:jc w:val="center"/>
            </w:pPr>
            <w:r w:rsidRPr="00A34BDB">
              <w:t>Migración y c</w:t>
            </w:r>
            <w:r w:rsidR="00CA4709" w:rsidRPr="00A34BDB">
              <w:t>rimen</w:t>
            </w:r>
          </w:p>
        </w:tc>
        <w:tc>
          <w:tcPr>
            <w:tcW w:w="5387" w:type="dxa"/>
          </w:tcPr>
          <w:p w14:paraId="76FFFEA7" w14:textId="77777777" w:rsidR="001C11F0" w:rsidRPr="00A34BDB" w:rsidRDefault="001C11F0" w:rsidP="001C11F0">
            <w:pPr>
              <w:rPr>
                <w:rFonts w:eastAsia="Times"/>
              </w:rPr>
            </w:pPr>
            <w:r w:rsidRPr="00A34BDB">
              <w:rPr>
                <w:rFonts w:eastAsia="Times"/>
                <w:lang w:val="es-CO"/>
              </w:rPr>
              <w:t xml:space="preserve">Catalina Amuedo-Dorantes, Cynthia Bansak, and Susan Pozo. 2018. </w:t>
            </w:r>
            <w:r w:rsidRPr="00A34BDB">
              <w:rPr>
                <w:rFonts w:eastAsia="Times"/>
              </w:rPr>
              <w:t xml:space="preserve">“Refugee Admissions and Public Safety: Are Refugee Settlement Areas More Prone to Crime?” IZA Discussion Paper No. 11612. </w:t>
            </w:r>
          </w:p>
          <w:p w14:paraId="55D93E7C" w14:textId="77777777" w:rsidR="001C11F0" w:rsidRPr="00A34BDB" w:rsidRDefault="001C11F0" w:rsidP="001C11F0">
            <w:pPr>
              <w:ind w:left="720"/>
              <w:rPr>
                <w:rFonts w:eastAsia="Times"/>
              </w:rPr>
            </w:pPr>
          </w:p>
          <w:p w14:paraId="0A3EF198" w14:textId="77777777" w:rsidR="001C11F0" w:rsidRPr="00A34BDB" w:rsidRDefault="001C11F0" w:rsidP="001C11F0">
            <w:pPr>
              <w:rPr>
                <w:rFonts w:eastAsia="Times"/>
              </w:rPr>
            </w:pPr>
            <w:r w:rsidRPr="00A34BDB">
              <w:rPr>
                <w:rFonts w:eastAsia="Times"/>
              </w:rPr>
              <w:t xml:space="preserve">Daniel Masterson and Vasil I. Yasenov. 2018. “Does Halting Refugee Resettlement Reduce Crime? Evidence from the United States Refugee Ban.” Immigration Policy Lab Working Paper 18-03. </w:t>
            </w:r>
          </w:p>
          <w:p w14:paraId="3A432A6B" w14:textId="66BC4CDF" w:rsidR="001C11F0" w:rsidRDefault="001C11F0" w:rsidP="001C11F0">
            <w:pPr>
              <w:pBdr>
                <w:top w:val="nil"/>
                <w:left w:val="nil"/>
                <w:bottom w:val="nil"/>
                <w:right w:val="nil"/>
                <w:between w:val="nil"/>
              </w:pBdr>
              <w:rPr>
                <w:rFonts w:eastAsia="Times"/>
                <w:color w:val="000000"/>
              </w:rPr>
            </w:pPr>
          </w:p>
          <w:p w14:paraId="60DE0005" w14:textId="5357EBA7" w:rsidR="00220BBD" w:rsidRDefault="00220BBD" w:rsidP="001C11F0">
            <w:pPr>
              <w:pBdr>
                <w:top w:val="nil"/>
                <w:left w:val="nil"/>
                <w:bottom w:val="nil"/>
                <w:right w:val="nil"/>
                <w:between w:val="nil"/>
              </w:pBdr>
              <w:rPr>
                <w:rFonts w:eastAsia="Times"/>
                <w:color w:val="000000"/>
              </w:rPr>
            </w:pPr>
            <w:r>
              <w:rPr>
                <w:rFonts w:eastAsia="Times"/>
                <w:color w:val="000000"/>
              </w:rPr>
              <w:t>Recomendado:</w:t>
            </w:r>
          </w:p>
          <w:p w14:paraId="4552CD9B" w14:textId="77777777" w:rsidR="00220BBD" w:rsidRPr="00A34BDB" w:rsidRDefault="00220BBD" w:rsidP="00220BBD">
            <w:pPr>
              <w:pBdr>
                <w:top w:val="nil"/>
                <w:left w:val="nil"/>
                <w:bottom w:val="nil"/>
                <w:right w:val="nil"/>
                <w:between w:val="nil"/>
              </w:pBdr>
              <w:ind w:left="708"/>
              <w:rPr>
                <w:rFonts w:eastAsia="Times"/>
                <w:color w:val="0A51F7"/>
              </w:rPr>
            </w:pPr>
            <w:r w:rsidRPr="00A34BDB">
              <w:rPr>
                <w:rFonts w:eastAsia="Times"/>
                <w:color w:val="000000"/>
              </w:rPr>
              <w:t>Markus Gehrsitz and Martin Ungerer. 2017. “Jobs, Crime, and Votes –</w:t>
            </w:r>
            <w:r w:rsidRPr="00A34BDB">
              <w:rPr>
                <w:rFonts w:eastAsia="Times"/>
                <w:color w:val="000000"/>
              </w:rPr>
              <w:br/>
              <w:t>A Short-Run Evaluation of the Refugee Crisis in Germany.” IZA Discussion Paper No. 10494</w:t>
            </w:r>
            <w:r w:rsidRPr="00A34BDB">
              <w:rPr>
                <w:rFonts w:eastAsia="Times"/>
                <w:color w:val="0A51F7"/>
              </w:rPr>
              <w:t xml:space="preserve"> </w:t>
            </w:r>
          </w:p>
          <w:p w14:paraId="69B44F4B" w14:textId="77777777" w:rsidR="00220BBD" w:rsidRPr="00A34BDB" w:rsidRDefault="00220BBD" w:rsidP="001C11F0">
            <w:pPr>
              <w:pBdr>
                <w:top w:val="nil"/>
                <w:left w:val="nil"/>
                <w:bottom w:val="nil"/>
                <w:right w:val="nil"/>
                <w:between w:val="nil"/>
              </w:pBdr>
              <w:rPr>
                <w:rFonts w:eastAsia="Times"/>
                <w:color w:val="000000"/>
              </w:rPr>
            </w:pPr>
          </w:p>
          <w:p w14:paraId="17F442DC" w14:textId="77777777" w:rsidR="005326B8" w:rsidRPr="00A34BDB" w:rsidRDefault="005326B8" w:rsidP="006C231D">
            <w:pPr>
              <w:jc w:val="center"/>
            </w:pPr>
          </w:p>
        </w:tc>
      </w:tr>
      <w:tr w:rsidR="005326B8" w:rsidRPr="00A34BDB" w14:paraId="3CCEA741" w14:textId="77777777" w:rsidTr="004416D7">
        <w:tc>
          <w:tcPr>
            <w:tcW w:w="1986" w:type="dxa"/>
          </w:tcPr>
          <w:p w14:paraId="5AFC2303" w14:textId="77777777" w:rsidR="005326B8" w:rsidRPr="00A34BDB" w:rsidRDefault="005326B8" w:rsidP="006C231D">
            <w:pPr>
              <w:jc w:val="center"/>
              <w:rPr>
                <w:lang w:val="es-CO"/>
              </w:rPr>
            </w:pPr>
            <w:r w:rsidRPr="00A34BDB">
              <w:rPr>
                <w:lang w:val="es-CO"/>
              </w:rPr>
              <w:t>Semana 15</w:t>
            </w:r>
          </w:p>
          <w:p w14:paraId="27098406" w14:textId="0C258246" w:rsidR="005326B8" w:rsidRPr="00A34BDB" w:rsidRDefault="005326B8" w:rsidP="006C231D">
            <w:pPr>
              <w:jc w:val="center"/>
              <w:rPr>
                <w:lang w:val="es-CO"/>
              </w:rPr>
            </w:pPr>
            <w:r w:rsidRPr="00A34BDB">
              <w:rPr>
                <w:lang w:val="es-CO"/>
              </w:rPr>
              <w:t>(</w:t>
            </w:r>
            <w:r w:rsidR="002F3120" w:rsidRPr="00A34BDB">
              <w:rPr>
                <w:lang w:val="es-CO"/>
              </w:rPr>
              <w:t>17 de mayo)</w:t>
            </w:r>
          </w:p>
        </w:tc>
        <w:tc>
          <w:tcPr>
            <w:tcW w:w="3543" w:type="dxa"/>
          </w:tcPr>
          <w:p w14:paraId="16C02CCE" w14:textId="77777777" w:rsidR="00FD7925" w:rsidRPr="00A34BDB" w:rsidRDefault="00FD7925" w:rsidP="004A2B8D">
            <w:pPr>
              <w:jc w:val="center"/>
              <w:rPr>
                <w:rFonts w:eastAsia="Times"/>
                <w:lang w:val="es-CO"/>
              </w:rPr>
            </w:pPr>
          </w:p>
          <w:p w14:paraId="0495521E" w14:textId="77777777" w:rsidR="00FD7925" w:rsidRPr="00A34BDB" w:rsidRDefault="00FD7925" w:rsidP="004A2B8D">
            <w:pPr>
              <w:jc w:val="center"/>
              <w:rPr>
                <w:rFonts w:eastAsia="Times"/>
                <w:lang w:val="es-CO"/>
              </w:rPr>
            </w:pPr>
          </w:p>
          <w:p w14:paraId="7FCAA05C" w14:textId="77777777" w:rsidR="00FD7925" w:rsidRPr="00A34BDB" w:rsidRDefault="00FD7925" w:rsidP="004A2B8D">
            <w:pPr>
              <w:jc w:val="center"/>
              <w:rPr>
                <w:rFonts w:eastAsia="Times"/>
                <w:lang w:val="es-CO"/>
              </w:rPr>
            </w:pPr>
          </w:p>
          <w:p w14:paraId="388F17AC" w14:textId="77777777" w:rsidR="00FD7925" w:rsidRPr="00A34BDB" w:rsidRDefault="00FD7925" w:rsidP="004A2B8D">
            <w:pPr>
              <w:jc w:val="center"/>
              <w:rPr>
                <w:rFonts w:eastAsia="Times"/>
                <w:lang w:val="es-CO"/>
              </w:rPr>
            </w:pPr>
          </w:p>
          <w:p w14:paraId="65BD38C9" w14:textId="77777777" w:rsidR="00FD7925" w:rsidRPr="00A34BDB" w:rsidRDefault="00FD7925" w:rsidP="004A2B8D">
            <w:pPr>
              <w:jc w:val="center"/>
              <w:rPr>
                <w:rFonts w:eastAsia="Times"/>
                <w:lang w:val="es-CO"/>
              </w:rPr>
            </w:pPr>
          </w:p>
          <w:p w14:paraId="378E2D91" w14:textId="77777777" w:rsidR="00FD7925" w:rsidRPr="00A34BDB" w:rsidRDefault="00FD7925" w:rsidP="004A2B8D">
            <w:pPr>
              <w:jc w:val="center"/>
              <w:rPr>
                <w:rFonts w:eastAsia="Times"/>
                <w:lang w:val="es-CO"/>
              </w:rPr>
            </w:pPr>
          </w:p>
          <w:p w14:paraId="32E15BCD" w14:textId="273857D4" w:rsidR="004A2B8D" w:rsidRPr="00A34BDB" w:rsidRDefault="004A2B8D" w:rsidP="004A2B8D">
            <w:pPr>
              <w:jc w:val="center"/>
              <w:rPr>
                <w:rFonts w:eastAsia="Times"/>
                <w:lang w:val="es-CO"/>
              </w:rPr>
            </w:pPr>
            <w:r w:rsidRPr="00A34BDB">
              <w:rPr>
                <w:rFonts w:eastAsia="Times"/>
                <w:lang w:val="es-CO"/>
              </w:rPr>
              <w:t>Trabajo sexual y violencia basada en género</w:t>
            </w:r>
          </w:p>
          <w:p w14:paraId="331AB465" w14:textId="77777777" w:rsidR="005326B8" w:rsidRPr="00A34BDB" w:rsidRDefault="005326B8" w:rsidP="006C231D">
            <w:pPr>
              <w:jc w:val="center"/>
              <w:rPr>
                <w:lang w:val="es-CO"/>
              </w:rPr>
            </w:pPr>
          </w:p>
        </w:tc>
        <w:tc>
          <w:tcPr>
            <w:tcW w:w="5387" w:type="dxa"/>
          </w:tcPr>
          <w:p w14:paraId="2C1F0573" w14:textId="77777777" w:rsidR="00FD7925" w:rsidRPr="00A34BDB" w:rsidRDefault="00FD7925" w:rsidP="00FD7925">
            <w:r w:rsidRPr="00A34BDB">
              <w:lastRenderedPageBreak/>
              <w:t>Amanda Agan. 2011. “Sex Offender Registries: Fear without Function?” Journal of Law and Economics, 54(1): 207-239.</w:t>
            </w:r>
          </w:p>
          <w:p w14:paraId="29731D65" w14:textId="77777777" w:rsidR="00FD7925" w:rsidRPr="00A34BDB" w:rsidRDefault="00FD7925" w:rsidP="00FD7925">
            <w:pPr>
              <w:jc w:val="both"/>
              <w:rPr>
                <w:rFonts w:eastAsia="Times"/>
                <w:b/>
              </w:rPr>
            </w:pPr>
          </w:p>
          <w:p w14:paraId="403B7592" w14:textId="77777777" w:rsidR="00FD7925" w:rsidRPr="00A34BDB" w:rsidRDefault="00FD7925" w:rsidP="00FD7925">
            <w:r w:rsidRPr="00A34BDB">
              <w:lastRenderedPageBreak/>
              <w:t>Cunningham, Scott and Manisha Shah. 2017. “Decriminalizing Indoor Prostitution: Implications for Sexual Violence and Public Health.” Review of Economic Studies, 85(3): 1683-1715.</w:t>
            </w:r>
          </w:p>
          <w:p w14:paraId="0ED19092" w14:textId="77777777" w:rsidR="005326B8" w:rsidRDefault="005326B8" w:rsidP="006C231D">
            <w:pPr>
              <w:jc w:val="center"/>
            </w:pPr>
          </w:p>
          <w:p w14:paraId="1C47FCA6" w14:textId="77777777" w:rsidR="00220BBD" w:rsidRDefault="00220BBD" w:rsidP="00220BBD">
            <w:r>
              <w:t>Recomendado:</w:t>
            </w:r>
          </w:p>
          <w:p w14:paraId="10B43F54" w14:textId="77777777" w:rsidR="00220BBD" w:rsidRPr="00A34BDB" w:rsidRDefault="00220BBD" w:rsidP="00220BBD">
            <w:pPr>
              <w:ind w:left="708"/>
              <w:rPr>
                <w:rFonts w:eastAsia="Times"/>
              </w:rPr>
            </w:pPr>
            <w:r w:rsidRPr="00A34BDB">
              <w:rPr>
                <w:rFonts w:eastAsia="Times"/>
              </w:rPr>
              <w:t>Bourgault, Shelby, Amber Peterman and Megan O’Donnell. 2021b. “Violence against Women and Children During COVID-19— One year on and 100 papers in.” Technical report, Center for Global Development.</w:t>
            </w:r>
          </w:p>
          <w:p w14:paraId="228754D8" w14:textId="6886F3E8" w:rsidR="00220BBD" w:rsidRPr="00A34BDB" w:rsidRDefault="00220BBD" w:rsidP="00220BBD"/>
        </w:tc>
      </w:tr>
      <w:tr w:rsidR="002F3120" w:rsidRPr="00A34BDB" w14:paraId="137D649E" w14:textId="77777777" w:rsidTr="004416D7">
        <w:tc>
          <w:tcPr>
            <w:tcW w:w="1986" w:type="dxa"/>
          </w:tcPr>
          <w:p w14:paraId="0783B763" w14:textId="77777777" w:rsidR="002F3120" w:rsidRPr="00A34BDB" w:rsidRDefault="00586F65" w:rsidP="006C231D">
            <w:pPr>
              <w:jc w:val="center"/>
              <w:rPr>
                <w:lang w:val="es-CO"/>
              </w:rPr>
            </w:pPr>
            <w:r w:rsidRPr="00A34BDB">
              <w:rPr>
                <w:lang w:val="es-CO"/>
              </w:rPr>
              <w:lastRenderedPageBreak/>
              <w:t>Semana 16</w:t>
            </w:r>
          </w:p>
          <w:p w14:paraId="12583B84" w14:textId="01EB3706" w:rsidR="00586F65" w:rsidRPr="00A34BDB" w:rsidRDefault="00586F65" w:rsidP="006C231D">
            <w:pPr>
              <w:jc w:val="center"/>
              <w:rPr>
                <w:lang w:val="es-CO"/>
              </w:rPr>
            </w:pPr>
            <w:r w:rsidRPr="00A34BDB">
              <w:rPr>
                <w:lang w:val="es-CO"/>
              </w:rPr>
              <w:t>(24 de mayo)</w:t>
            </w:r>
          </w:p>
        </w:tc>
        <w:tc>
          <w:tcPr>
            <w:tcW w:w="3543" w:type="dxa"/>
          </w:tcPr>
          <w:p w14:paraId="64CFB1D6" w14:textId="77777777" w:rsidR="002F3120" w:rsidRPr="00A34BDB" w:rsidRDefault="00615D02" w:rsidP="00615D02">
            <w:pPr>
              <w:spacing w:line="276" w:lineRule="auto"/>
              <w:jc w:val="center"/>
              <w:rPr>
                <w:lang w:val="es-CO"/>
              </w:rPr>
            </w:pPr>
            <w:r w:rsidRPr="00A34BDB">
              <w:rPr>
                <w:lang w:val="es-CO"/>
              </w:rPr>
              <w:t>Conclusiones</w:t>
            </w:r>
          </w:p>
          <w:p w14:paraId="3191183E" w14:textId="77777777" w:rsidR="00B972C1" w:rsidRPr="00A34BDB" w:rsidRDefault="00B972C1" w:rsidP="00615D02">
            <w:pPr>
              <w:spacing w:line="276" w:lineRule="auto"/>
              <w:jc w:val="center"/>
              <w:rPr>
                <w:lang w:val="es-CO"/>
              </w:rPr>
            </w:pPr>
          </w:p>
          <w:p w14:paraId="5DF00387" w14:textId="5310769D" w:rsidR="00B972C1" w:rsidRPr="00A34BDB" w:rsidRDefault="00B972C1" w:rsidP="00615D02">
            <w:pPr>
              <w:spacing w:line="276" w:lineRule="auto"/>
              <w:jc w:val="center"/>
              <w:rPr>
                <w:lang w:val="es-CO"/>
              </w:rPr>
            </w:pPr>
            <w:r w:rsidRPr="00A34BDB">
              <w:rPr>
                <w:color w:val="FF0000"/>
                <w:lang w:val="es-CO"/>
              </w:rPr>
              <w:t>PRESENTACIONES FINALES</w:t>
            </w:r>
          </w:p>
        </w:tc>
        <w:tc>
          <w:tcPr>
            <w:tcW w:w="5387" w:type="dxa"/>
          </w:tcPr>
          <w:p w14:paraId="5BC4444F" w14:textId="77777777" w:rsidR="002F3120" w:rsidRPr="00A34BDB" w:rsidRDefault="002F3120" w:rsidP="006C231D">
            <w:pPr>
              <w:jc w:val="center"/>
              <w:rPr>
                <w:lang w:val="es-CO"/>
              </w:rPr>
            </w:pPr>
          </w:p>
        </w:tc>
      </w:tr>
    </w:tbl>
    <w:p w14:paraId="0A87753F" w14:textId="77777777" w:rsidR="006C231D" w:rsidRPr="00A34BDB" w:rsidRDefault="006C231D" w:rsidP="006C231D">
      <w:pPr>
        <w:jc w:val="center"/>
        <w:rPr>
          <w:b/>
          <w:bCs/>
          <w:lang w:val="es-CO"/>
        </w:rPr>
      </w:pPr>
    </w:p>
    <w:sectPr w:rsidR="006C231D" w:rsidRPr="00A34B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w:altName w:val="Book Antiqua"/>
    <w:panose1 w:val="00000000000000000000"/>
    <w:charset w:val="4D"/>
    <w:family w:val="auto"/>
    <w:pitch w:val="variable"/>
    <w:sig w:usb0="A00002FF" w:usb1="7800205A" w:usb2="14600000" w:usb3="00000000" w:csb0="00000193" w:csb1="00000000"/>
  </w:font>
  <w:font w:name="Noto Sans Symbols">
    <w:altName w:val="Calibri"/>
    <w:panose1 w:val="020B0604020202020204"/>
    <w:charset w:val="00"/>
    <w:family w:val="auto"/>
    <w:pitch w:val="default"/>
  </w:font>
  <w:font w:name="Times">
    <w:altName w:val="Sylfae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71D"/>
    <w:multiLevelType w:val="hybridMultilevel"/>
    <w:tmpl w:val="9E2688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F8114B"/>
    <w:multiLevelType w:val="multilevel"/>
    <w:tmpl w:val="386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40AC4"/>
    <w:multiLevelType w:val="multilevel"/>
    <w:tmpl w:val="4CD2A3C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D124C5"/>
    <w:multiLevelType w:val="hybridMultilevel"/>
    <w:tmpl w:val="16587828"/>
    <w:lvl w:ilvl="0" w:tplc="6B724D3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4A5054"/>
    <w:multiLevelType w:val="multilevel"/>
    <w:tmpl w:val="C9B002EC"/>
    <w:lvl w:ilvl="0">
      <w:numFmt w:val="bullet"/>
      <w:lvlText w:val="-"/>
      <w:lvlJc w:val="left"/>
      <w:pPr>
        <w:ind w:left="720" w:hanging="360"/>
      </w:pPr>
      <w:rPr>
        <w:rFonts w:ascii="Palatino" w:eastAsia="Palatino" w:hAnsi="Palatino" w:cs="Palatin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6F5D45"/>
    <w:multiLevelType w:val="hybridMultilevel"/>
    <w:tmpl w:val="D73225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976B91"/>
    <w:multiLevelType w:val="hybridMultilevel"/>
    <w:tmpl w:val="D43C8618"/>
    <w:lvl w:ilvl="0" w:tplc="31AAC248">
      <w:numFmt w:val="bullet"/>
      <w:lvlText w:val="-"/>
      <w:lvlJc w:val="left"/>
      <w:pPr>
        <w:ind w:left="720" w:hanging="360"/>
      </w:pPr>
      <w:rPr>
        <w:rFonts w:ascii="Times" w:eastAsia="Times New Roman" w:hAnsi="Times" w:cs="Time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273CFF"/>
    <w:multiLevelType w:val="multilevel"/>
    <w:tmpl w:val="71647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170B70"/>
    <w:multiLevelType w:val="hybridMultilevel"/>
    <w:tmpl w:val="0C544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2E7E2E"/>
    <w:multiLevelType w:val="multilevel"/>
    <w:tmpl w:val="EB245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4850CD"/>
    <w:multiLevelType w:val="hybridMultilevel"/>
    <w:tmpl w:val="140A24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7137997"/>
    <w:multiLevelType w:val="multilevel"/>
    <w:tmpl w:val="B7A81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C2030E"/>
    <w:multiLevelType w:val="multilevel"/>
    <w:tmpl w:val="98FA2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5A16F1"/>
    <w:multiLevelType w:val="multilevel"/>
    <w:tmpl w:val="9D149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6033C1"/>
    <w:multiLevelType w:val="hybridMultilevel"/>
    <w:tmpl w:val="02ACFB88"/>
    <w:lvl w:ilvl="0" w:tplc="A19A3816">
      <w:start w:val="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9F6A94"/>
    <w:multiLevelType w:val="hybridMultilevel"/>
    <w:tmpl w:val="02CA7914"/>
    <w:lvl w:ilvl="0" w:tplc="B442D4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67498624">
    <w:abstractNumId w:val="5"/>
  </w:num>
  <w:num w:numId="2" w16cid:durableId="962231073">
    <w:abstractNumId w:val="9"/>
  </w:num>
  <w:num w:numId="3" w16cid:durableId="127212904">
    <w:abstractNumId w:val="10"/>
  </w:num>
  <w:num w:numId="4" w16cid:durableId="1803158235">
    <w:abstractNumId w:val="3"/>
  </w:num>
  <w:num w:numId="5" w16cid:durableId="1327393454">
    <w:abstractNumId w:val="14"/>
  </w:num>
  <w:num w:numId="6" w16cid:durableId="614218970">
    <w:abstractNumId w:val="12"/>
  </w:num>
  <w:num w:numId="7" w16cid:durableId="790173874">
    <w:abstractNumId w:val="2"/>
  </w:num>
  <w:num w:numId="8" w16cid:durableId="1582988902">
    <w:abstractNumId w:val="15"/>
  </w:num>
  <w:num w:numId="9" w16cid:durableId="980843067">
    <w:abstractNumId w:val="13"/>
  </w:num>
  <w:num w:numId="10" w16cid:durableId="879320685">
    <w:abstractNumId w:val="4"/>
  </w:num>
  <w:num w:numId="11" w16cid:durableId="1126198041">
    <w:abstractNumId w:val="11"/>
  </w:num>
  <w:num w:numId="12" w16cid:durableId="2034139056">
    <w:abstractNumId w:val="7"/>
  </w:num>
  <w:num w:numId="13" w16cid:durableId="968707620">
    <w:abstractNumId w:val="0"/>
  </w:num>
  <w:num w:numId="14" w16cid:durableId="1350913508">
    <w:abstractNumId w:val="1"/>
  </w:num>
  <w:num w:numId="15" w16cid:durableId="380519823">
    <w:abstractNumId w:val="8"/>
  </w:num>
  <w:num w:numId="16" w16cid:durableId="19408700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AF"/>
    <w:rsid w:val="00015766"/>
    <w:rsid w:val="000470E4"/>
    <w:rsid w:val="000605C9"/>
    <w:rsid w:val="00060FC6"/>
    <w:rsid w:val="00063CE0"/>
    <w:rsid w:val="00064C1D"/>
    <w:rsid w:val="00067C7B"/>
    <w:rsid w:val="0007236C"/>
    <w:rsid w:val="000777B0"/>
    <w:rsid w:val="0008365D"/>
    <w:rsid w:val="000940E1"/>
    <w:rsid w:val="000A4A58"/>
    <w:rsid w:val="000A6D45"/>
    <w:rsid w:val="000D7427"/>
    <w:rsid w:val="00106A57"/>
    <w:rsid w:val="00121D13"/>
    <w:rsid w:val="00133D86"/>
    <w:rsid w:val="001509DD"/>
    <w:rsid w:val="001509F6"/>
    <w:rsid w:val="00150E2A"/>
    <w:rsid w:val="00174AE3"/>
    <w:rsid w:val="001756EC"/>
    <w:rsid w:val="001870C1"/>
    <w:rsid w:val="00190ABB"/>
    <w:rsid w:val="001A71D3"/>
    <w:rsid w:val="001A7C18"/>
    <w:rsid w:val="001B2C8A"/>
    <w:rsid w:val="001B6D77"/>
    <w:rsid w:val="001C11F0"/>
    <w:rsid w:val="001D0963"/>
    <w:rsid w:val="002010DE"/>
    <w:rsid w:val="00203CC0"/>
    <w:rsid w:val="00220BBD"/>
    <w:rsid w:val="0023346A"/>
    <w:rsid w:val="0024249D"/>
    <w:rsid w:val="002633A4"/>
    <w:rsid w:val="00275710"/>
    <w:rsid w:val="002B5355"/>
    <w:rsid w:val="002B551D"/>
    <w:rsid w:val="002D4FFA"/>
    <w:rsid w:val="002F1F89"/>
    <w:rsid w:val="002F3120"/>
    <w:rsid w:val="00304C47"/>
    <w:rsid w:val="00334812"/>
    <w:rsid w:val="00347CC0"/>
    <w:rsid w:val="003674C4"/>
    <w:rsid w:val="003B65A8"/>
    <w:rsid w:val="003B765A"/>
    <w:rsid w:val="003E1D2F"/>
    <w:rsid w:val="003F03DC"/>
    <w:rsid w:val="00414E5B"/>
    <w:rsid w:val="004178BF"/>
    <w:rsid w:val="00424F6D"/>
    <w:rsid w:val="004416D7"/>
    <w:rsid w:val="00444B50"/>
    <w:rsid w:val="00466A4B"/>
    <w:rsid w:val="00476993"/>
    <w:rsid w:val="00483A39"/>
    <w:rsid w:val="00486532"/>
    <w:rsid w:val="004A2B8D"/>
    <w:rsid w:val="004D126C"/>
    <w:rsid w:val="004D15E0"/>
    <w:rsid w:val="004D5E1E"/>
    <w:rsid w:val="004D6AA3"/>
    <w:rsid w:val="004D7A21"/>
    <w:rsid w:val="004E1B6D"/>
    <w:rsid w:val="004E34D3"/>
    <w:rsid w:val="004E53BB"/>
    <w:rsid w:val="00517F81"/>
    <w:rsid w:val="005326B8"/>
    <w:rsid w:val="00535347"/>
    <w:rsid w:val="00543B77"/>
    <w:rsid w:val="00544947"/>
    <w:rsid w:val="00560B4F"/>
    <w:rsid w:val="00571D35"/>
    <w:rsid w:val="00575608"/>
    <w:rsid w:val="00586F57"/>
    <w:rsid w:val="00586F65"/>
    <w:rsid w:val="00593AA5"/>
    <w:rsid w:val="00595FEF"/>
    <w:rsid w:val="005A7B2F"/>
    <w:rsid w:val="005C65AB"/>
    <w:rsid w:val="005C6FED"/>
    <w:rsid w:val="005E6381"/>
    <w:rsid w:val="005F535C"/>
    <w:rsid w:val="005F56BC"/>
    <w:rsid w:val="006007C7"/>
    <w:rsid w:val="00615D02"/>
    <w:rsid w:val="00653A6D"/>
    <w:rsid w:val="00660474"/>
    <w:rsid w:val="00666000"/>
    <w:rsid w:val="00666549"/>
    <w:rsid w:val="0067312D"/>
    <w:rsid w:val="00677715"/>
    <w:rsid w:val="0068394A"/>
    <w:rsid w:val="0069057E"/>
    <w:rsid w:val="00692DE1"/>
    <w:rsid w:val="00694982"/>
    <w:rsid w:val="006C231D"/>
    <w:rsid w:val="006E4F1C"/>
    <w:rsid w:val="006F028B"/>
    <w:rsid w:val="006F3724"/>
    <w:rsid w:val="006F581B"/>
    <w:rsid w:val="00726769"/>
    <w:rsid w:val="007606F3"/>
    <w:rsid w:val="00763C70"/>
    <w:rsid w:val="00792012"/>
    <w:rsid w:val="007B0384"/>
    <w:rsid w:val="007B18DF"/>
    <w:rsid w:val="007C3AF3"/>
    <w:rsid w:val="007D2870"/>
    <w:rsid w:val="007D2D07"/>
    <w:rsid w:val="007D7E55"/>
    <w:rsid w:val="007F14CF"/>
    <w:rsid w:val="00824C1C"/>
    <w:rsid w:val="00826479"/>
    <w:rsid w:val="008549F3"/>
    <w:rsid w:val="00862205"/>
    <w:rsid w:val="00871871"/>
    <w:rsid w:val="00881E74"/>
    <w:rsid w:val="00890A6E"/>
    <w:rsid w:val="008A1C01"/>
    <w:rsid w:val="008C17F5"/>
    <w:rsid w:val="008D35C4"/>
    <w:rsid w:val="008E090F"/>
    <w:rsid w:val="00925818"/>
    <w:rsid w:val="00932130"/>
    <w:rsid w:val="0093374F"/>
    <w:rsid w:val="009341D2"/>
    <w:rsid w:val="0094639E"/>
    <w:rsid w:val="00973AE0"/>
    <w:rsid w:val="009A5625"/>
    <w:rsid w:val="009B427B"/>
    <w:rsid w:val="009D7194"/>
    <w:rsid w:val="009E26B1"/>
    <w:rsid w:val="009F3E0D"/>
    <w:rsid w:val="00A1169A"/>
    <w:rsid w:val="00A152F1"/>
    <w:rsid w:val="00A34ADA"/>
    <w:rsid w:val="00A34BDB"/>
    <w:rsid w:val="00A40243"/>
    <w:rsid w:val="00A40DB2"/>
    <w:rsid w:val="00A53E61"/>
    <w:rsid w:val="00A57BD9"/>
    <w:rsid w:val="00A61AE7"/>
    <w:rsid w:val="00A62045"/>
    <w:rsid w:val="00A6563F"/>
    <w:rsid w:val="00A7061E"/>
    <w:rsid w:val="00A74B9D"/>
    <w:rsid w:val="00A75189"/>
    <w:rsid w:val="00A76081"/>
    <w:rsid w:val="00A806AC"/>
    <w:rsid w:val="00AA404B"/>
    <w:rsid w:val="00AC2673"/>
    <w:rsid w:val="00AE4E9D"/>
    <w:rsid w:val="00AF5BA6"/>
    <w:rsid w:val="00B07071"/>
    <w:rsid w:val="00B07436"/>
    <w:rsid w:val="00B1147E"/>
    <w:rsid w:val="00B426BF"/>
    <w:rsid w:val="00B476FB"/>
    <w:rsid w:val="00B61D80"/>
    <w:rsid w:val="00B65D98"/>
    <w:rsid w:val="00B67C3D"/>
    <w:rsid w:val="00B8522B"/>
    <w:rsid w:val="00B936C9"/>
    <w:rsid w:val="00B972C1"/>
    <w:rsid w:val="00BB4529"/>
    <w:rsid w:val="00BD6662"/>
    <w:rsid w:val="00BF2098"/>
    <w:rsid w:val="00C25389"/>
    <w:rsid w:val="00C5284D"/>
    <w:rsid w:val="00C707EA"/>
    <w:rsid w:val="00C767B9"/>
    <w:rsid w:val="00C926A1"/>
    <w:rsid w:val="00CA4709"/>
    <w:rsid w:val="00CB328A"/>
    <w:rsid w:val="00CB3C4E"/>
    <w:rsid w:val="00CF5633"/>
    <w:rsid w:val="00D030C4"/>
    <w:rsid w:val="00D112E2"/>
    <w:rsid w:val="00D15D18"/>
    <w:rsid w:val="00D41CD6"/>
    <w:rsid w:val="00D43F9F"/>
    <w:rsid w:val="00D45223"/>
    <w:rsid w:val="00D454BD"/>
    <w:rsid w:val="00D64A6B"/>
    <w:rsid w:val="00D9445F"/>
    <w:rsid w:val="00DB57AF"/>
    <w:rsid w:val="00DC4E98"/>
    <w:rsid w:val="00DD30CC"/>
    <w:rsid w:val="00DF0166"/>
    <w:rsid w:val="00DF03F1"/>
    <w:rsid w:val="00DF1BFD"/>
    <w:rsid w:val="00DF5858"/>
    <w:rsid w:val="00E135E2"/>
    <w:rsid w:val="00E1432B"/>
    <w:rsid w:val="00E30CDD"/>
    <w:rsid w:val="00E509F7"/>
    <w:rsid w:val="00E86BC7"/>
    <w:rsid w:val="00EA327E"/>
    <w:rsid w:val="00EB42E6"/>
    <w:rsid w:val="00EC6EAE"/>
    <w:rsid w:val="00ED160E"/>
    <w:rsid w:val="00ED1CD0"/>
    <w:rsid w:val="00EF7C5C"/>
    <w:rsid w:val="00F0257A"/>
    <w:rsid w:val="00F17B2B"/>
    <w:rsid w:val="00F217CD"/>
    <w:rsid w:val="00F22A4C"/>
    <w:rsid w:val="00F40F40"/>
    <w:rsid w:val="00F42B35"/>
    <w:rsid w:val="00F47CAF"/>
    <w:rsid w:val="00F5378B"/>
    <w:rsid w:val="00F537F8"/>
    <w:rsid w:val="00F6719E"/>
    <w:rsid w:val="00F71584"/>
    <w:rsid w:val="00F77ACC"/>
    <w:rsid w:val="00F820E2"/>
    <w:rsid w:val="00F87EBD"/>
    <w:rsid w:val="00FA5B41"/>
    <w:rsid w:val="00FC0619"/>
    <w:rsid w:val="00FC3AE6"/>
    <w:rsid w:val="00FD79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56B7"/>
  <w15:chartTrackingRefBased/>
  <w15:docId w15:val="{CD063A7F-13F6-4BED-94C0-876EF8C2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AF"/>
    <w:pPr>
      <w:spacing w:after="0" w:line="240" w:lineRule="auto"/>
    </w:pPr>
    <w:rPr>
      <w:rFonts w:ascii="Times New Roman" w:eastAsia="Times New Roman" w:hAnsi="Times New Roman" w:cs="Times New Roman"/>
      <w:sz w:val="24"/>
      <w:szCs w:val="24"/>
      <w:lang w:val="en-US"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CAF"/>
    <w:rPr>
      <w:color w:val="0563C1" w:themeColor="hyperlink"/>
      <w:u w:val="single"/>
    </w:rPr>
  </w:style>
  <w:style w:type="character" w:styleId="UnresolvedMention">
    <w:name w:val="Unresolved Mention"/>
    <w:basedOn w:val="DefaultParagraphFont"/>
    <w:uiPriority w:val="99"/>
    <w:semiHidden/>
    <w:unhideWhenUsed/>
    <w:rsid w:val="00F47CAF"/>
    <w:rPr>
      <w:color w:val="605E5C"/>
      <w:shd w:val="clear" w:color="auto" w:fill="E1DFDD"/>
    </w:rPr>
  </w:style>
  <w:style w:type="paragraph" w:styleId="ListParagraph">
    <w:name w:val="List Paragraph"/>
    <w:basedOn w:val="Normal"/>
    <w:uiPriority w:val="34"/>
    <w:qFormat/>
    <w:rsid w:val="00F47CAF"/>
    <w:pPr>
      <w:ind w:left="720"/>
      <w:contextualSpacing/>
    </w:pPr>
  </w:style>
  <w:style w:type="table" w:styleId="TableGrid">
    <w:name w:val="Table Grid"/>
    <w:basedOn w:val="TableNormal"/>
    <w:uiPriority w:val="39"/>
    <w:rsid w:val="00334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0E1"/>
    <w:pPr>
      <w:spacing w:before="100" w:beforeAutospacing="1" w:after="100" w:afterAutospacing="1"/>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weintraub@uniandes.edu.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unning.com/cunningham_mixtape.pdf" TargetMode="External"/><Relationship Id="rId4" Type="http://schemas.openxmlformats.org/officeDocument/2006/relationships/numbering" Target="numbering.xml"/><Relationship Id="rId9" Type="http://schemas.openxmlformats.org/officeDocument/2006/relationships/hyperlink" Target="mailto:ma.gomezb1@uniandes.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A804AD72D891448FC931C2F20D4B32" ma:contentTypeVersion="14" ma:contentTypeDescription="Crear nuevo documento." ma:contentTypeScope="" ma:versionID="ca35f5dafb63419f5174996512f5069a">
  <xsd:schema xmlns:xsd="http://www.w3.org/2001/XMLSchema" xmlns:xs="http://www.w3.org/2001/XMLSchema" xmlns:p="http://schemas.microsoft.com/office/2006/metadata/properties" xmlns:ns3="b83ee53b-8096-440b-aeb2-4379fd14cbfc" xmlns:ns4="11ab1bd2-49bc-4ac6-9a79-84af56fbe7c6" targetNamespace="http://schemas.microsoft.com/office/2006/metadata/properties" ma:root="true" ma:fieldsID="c514d4cbbf8cfea15a1b444d491f8629" ns3:_="" ns4:_="">
    <xsd:import namespace="b83ee53b-8096-440b-aeb2-4379fd14cbfc"/>
    <xsd:import namespace="11ab1bd2-49bc-4ac6-9a79-84af56fbe7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ee53b-8096-440b-aeb2-4379fd14c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b1bd2-49bc-4ac6-9a79-84af56fbe7c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A23A9-BBD2-4CA8-9107-17D18E8A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ee53b-8096-440b-aeb2-4379fd14cbfc"/>
    <ds:schemaRef ds:uri="11ab1bd2-49bc-4ac6-9a79-84af56fbe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043A7-97FD-488D-B7E4-CFA07B86216C}">
  <ds:schemaRefs>
    <ds:schemaRef ds:uri="http://schemas.microsoft.com/sharepoint/v3/contenttype/forms"/>
  </ds:schemaRefs>
</ds:datastoreItem>
</file>

<file path=customXml/itemProps3.xml><?xml version="1.0" encoding="utf-8"?>
<ds:datastoreItem xmlns:ds="http://schemas.openxmlformats.org/officeDocument/2006/customXml" ds:itemID="{FB3AC33F-9EC7-49CD-ADD5-9147C4399A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3178</Words>
  <Characters>18119</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Gomez Bretón</dc:creator>
  <cp:keywords/>
  <dc:description/>
  <cp:lastModifiedBy>Michael Lee Weintraub</cp:lastModifiedBy>
  <cp:revision>60</cp:revision>
  <dcterms:created xsi:type="dcterms:W3CDTF">2023-01-23T13:55:00Z</dcterms:created>
  <dcterms:modified xsi:type="dcterms:W3CDTF">2023-01-23T18:49:00Z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0x0101001BA804AD72D891448FC931C2F20D4B32</vt:lpwstr>
  </property>
</Properties>
</file>